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D3D6F" w14:textId="77777777" w:rsidR="008D7638" w:rsidRDefault="008D7638" w:rsidP="00392178">
      <w:pPr>
        <w:spacing w:after="0" w:line="240" w:lineRule="atLeast"/>
        <w:ind w:left="709"/>
        <w:jc w:val="both"/>
        <w:rPr>
          <w:rFonts w:ascii="Arial" w:eastAsia="Times New Roman" w:hAnsi="Arial" w:cs="Arial"/>
          <w:lang w:val="fr-BE" w:eastAsia="en-GB"/>
        </w:rPr>
      </w:pPr>
    </w:p>
    <w:p w14:paraId="793AA05D" w14:textId="77777777" w:rsidR="00392178" w:rsidRPr="00113AF2" w:rsidRDefault="00392178" w:rsidP="008D7638">
      <w:pPr>
        <w:spacing w:after="0" w:line="240" w:lineRule="atLeast"/>
        <w:jc w:val="both"/>
        <w:rPr>
          <w:rFonts w:asciiTheme="minorHAnsi" w:eastAsia="Times New Roman" w:hAnsiTheme="minorHAnsi" w:cstheme="minorHAnsi"/>
          <w:sz w:val="24"/>
          <w:szCs w:val="24"/>
          <w:lang w:val="fr-BE" w:eastAsia="en-GB"/>
        </w:rPr>
      </w:pPr>
      <w:r w:rsidRPr="00113AF2">
        <w:rPr>
          <w:rFonts w:asciiTheme="minorHAnsi" w:eastAsia="Times New Roman" w:hAnsiTheme="minorHAnsi" w:cstheme="minorHAnsi"/>
          <w:sz w:val="24"/>
          <w:szCs w:val="24"/>
          <w:lang w:val="fr-BE" w:eastAsia="en-GB"/>
        </w:rPr>
        <w:t xml:space="preserve">Un employeur peut faire appel à un </w:t>
      </w:r>
      <w:r w:rsidRPr="00113AF2">
        <w:rPr>
          <w:rFonts w:asciiTheme="minorHAnsi" w:eastAsia="Times New Roman" w:hAnsiTheme="minorHAnsi" w:cstheme="minorHAnsi"/>
          <w:b/>
          <w:sz w:val="24"/>
          <w:szCs w:val="24"/>
          <w:lang w:val="fr-BE" w:eastAsia="en-GB"/>
        </w:rPr>
        <w:t>secrétariat social agréé</w:t>
      </w:r>
      <w:r w:rsidRPr="00113AF2">
        <w:rPr>
          <w:rFonts w:asciiTheme="minorHAnsi" w:eastAsia="Times New Roman" w:hAnsiTheme="minorHAnsi" w:cstheme="minorHAnsi"/>
          <w:sz w:val="24"/>
          <w:szCs w:val="24"/>
          <w:lang w:val="fr-BE" w:eastAsia="en-GB"/>
        </w:rPr>
        <w:t xml:space="preserve"> à ou un </w:t>
      </w:r>
      <w:r w:rsidRPr="00113AF2">
        <w:rPr>
          <w:rFonts w:asciiTheme="minorHAnsi" w:eastAsia="Times New Roman" w:hAnsiTheme="minorHAnsi" w:cstheme="minorHAnsi"/>
          <w:b/>
          <w:sz w:val="24"/>
          <w:szCs w:val="24"/>
          <w:lang w:val="fr-BE" w:eastAsia="en-GB"/>
        </w:rPr>
        <w:t>prestataire de services sociaux</w:t>
      </w:r>
      <w:r w:rsidRPr="00113AF2">
        <w:rPr>
          <w:rFonts w:asciiTheme="minorHAnsi" w:eastAsia="Times New Roman" w:hAnsiTheme="minorHAnsi" w:cstheme="minorHAnsi"/>
          <w:sz w:val="24"/>
          <w:szCs w:val="24"/>
          <w:lang w:val="fr-BE" w:eastAsia="en-GB"/>
        </w:rPr>
        <w:t xml:space="preserve"> pour assurer l’exécution de ses obligations sociales, dont celles à l’égard de l’Office national de sécurité sociale (ONSS.) </w:t>
      </w:r>
    </w:p>
    <w:p w14:paraId="59271635" w14:textId="77777777" w:rsidR="00392178" w:rsidRPr="00113AF2" w:rsidRDefault="00392178" w:rsidP="008D7638">
      <w:pPr>
        <w:spacing w:after="0" w:line="240" w:lineRule="atLeast"/>
        <w:jc w:val="both"/>
        <w:rPr>
          <w:rFonts w:asciiTheme="minorHAnsi" w:eastAsia="Times New Roman" w:hAnsiTheme="minorHAnsi" w:cstheme="minorHAnsi"/>
          <w:i/>
          <w:sz w:val="24"/>
          <w:szCs w:val="24"/>
          <w:lang w:val="fr-BE" w:eastAsia="en-GB"/>
        </w:rPr>
      </w:pPr>
    </w:p>
    <w:p w14:paraId="4B8BC3FF" w14:textId="77777777" w:rsidR="008D7638" w:rsidRPr="00113AF2" w:rsidRDefault="008D7638" w:rsidP="008D7638">
      <w:pPr>
        <w:spacing w:after="0" w:line="240" w:lineRule="atLeast"/>
        <w:jc w:val="both"/>
        <w:rPr>
          <w:rFonts w:asciiTheme="minorHAnsi" w:eastAsia="Times New Roman" w:hAnsiTheme="minorHAnsi" w:cstheme="minorHAnsi"/>
          <w:i/>
          <w:sz w:val="24"/>
          <w:szCs w:val="24"/>
          <w:lang w:val="fr-BE" w:eastAsia="en-GB"/>
        </w:rPr>
      </w:pPr>
      <w:r w:rsidRPr="00113AF2">
        <w:rPr>
          <w:rFonts w:asciiTheme="minorHAnsi" w:eastAsia="Times New Roman" w:hAnsiTheme="minorHAnsi" w:cstheme="minorHAnsi"/>
          <w:i/>
          <w:sz w:val="24"/>
          <w:szCs w:val="24"/>
          <w:lang w:val="fr-BE" w:eastAsia="en-GB"/>
        </w:rPr>
        <w:t>Notions</w:t>
      </w:r>
    </w:p>
    <w:p w14:paraId="4BEAF82F" w14:textId="77777777" w:rsidR="008D7638" w:rsidRPr="00113AF2" w:rsidRDefault="008D7638" w:rsidP="008D7638">
      <w:pPr>
        <w:spacing w:after="0" w:line="240" w:lineRule="atLeast"/>
        <w:jc w:val="both"/>
        <w:rPr>
          <w:rFonts w:asciiTheme="minorHAnsi" w:eastAsia="Times New Roman" w:hAnsiTheme="minorHAnsi" w:cstheme="minorHAnsi"/>
          <w:sz w:val="24"/>
          <w:szCs w:val="24"/>
          <w:lang w:val="fr-BE" w:eastAsia="en-GB"/>
        </w:rPr>
      </w:pPr>
    </w:p>
    <w:p w14:paraId="03859B49" w14:textId="577176F1" w:rsidR="00392178" w:rsidRDefault="00392178" w:rsidP="008D7638">
      <w:pPr>
        <w:spacing w:after="0" w:line="240" w:lineRule="atLeast"/>
        <w:jc w:val="both"/>
        <w:rPr>
          <w:rFonts w:asciiTheme="minorHAnsi" w:eastAsia="Times New Roman" w:hAnsiTheme="minorHAnsi" w:cstheme="minorHAnsi"/>
          <w:bCs/>
          <w:sz w:val="24"/>
          <w:szCs w:val="24"/>
          <w:highlight w:val="yellow"/>
          <w:lang w:val="fr-BE" w:eastAsia="en-GB"/>
        </w:rPr>
      </w:pPr>
      <w:r w:rsidRPr="00113AF2">
        <w:rPr>
          <w:rFonts w:asciiTheme="minorHAnsi" w:eastAsia="Times New Roman" w:hAnsiTheme="minorHAnsi" w:cstheme="minorHAnsi"/>
          <w:sz w:val="24"/>
          <w:szCs w:val="24"/>
          <w:lang w:val="fr-BE" w:eastAsia="en-GB"/>
        </w:rPr>
        <w:t xml:space="preserve">Tant les prestataires de services que les secrétariats sociaux sont des </w:t>
      </w:r>
      <w:r w:rsidRPr="00113AF2">
        <w:rPr>
          <w:rFonts w:asciiTheme="minorHAnsi" w:eastAsia="Times New Roman" w:hAnsiTheme="minorHAnsi" w:cstheme="minorHAnsi"/>
          <w:bCs/>
          <w:sz w:val="24"/>
          <w:szCs w:val="24"/>
          <w:lang w:val="fr-BE" w:eastAsia="en-GB"/>
        </w:rPr>
        <w:t xml:space="preserve">mandataires de l’employeur qui effectuent pour lui les formalités obligatoires à l’égard des institutions de sécurité sociale. Ils doivent également lui donner les informations nécessaires afin de permettre à l’employeur de respecter ses obligations. </w:t>
      </w:r>
    </w:p>
    <w:p w14:paraId="36ECF2B0" w14:textId="77777777" w:rsidR="00BC6BFF" w:rsidRPr="00113AF2" w:rsidRDefault="00BC6BFF" w:rsidP="008D7638">
      <w:pPr>
        <w:spacing w:after="0" w:line="240" w:lineRule="atLeast"/>
        <w:jc w:val="both"/>
        <w:rPr>
          <w:rFonts w:asciiTheme="minorHAnsi" w:eastAsia="Times New Roman" w:hAnsiTheme="minorHAnsi" w:cstheme="minorHAnsi"/>
          <w:bCs/>
          <w:sz w:val="24"/>
          <w:szCs w:val="24"/>
          <w:lang w:val="fr-BE" w:eastAsia="en-GB"/>
        </w:rPr>
      </w:pPr>
    </w:p>
    <w:p w14:paraId="37A2EE33" w14:textId="1FB2B29E" w:rsidR="00392178" w:rsidRPr="00113AF2" w:rsidRDefault="00392178" w:rsidP="008D7638">
      <w:pPr>
        <w:spacing w:after="0" w:line="240" w:lineRule="atLeast"/>
        <w:jc w:val="both"/>
        <w:rPr>
          <w:rFonts w:asciiTheme="minorHAnsi" w:eastAsia="Times New Roman" w:hAnsiTheme="minorHAnsi" w:cstheme="minorHAnsi"/>
          <w:bCs/>
          <w:sz w:val="24"/>
          <w:szCs w:val="24"/>
          <w:lang w:val="fr-BE" w:eastAsia="en-GB"/>
        </w:rPr>
      </w:pPr>
      <w:r w:rsidRPr="00113AF2">
        <w:rPr>
          <w:rFonts w:asciiTheme="minorHAnsi" w:eastAsia="Times New Roman" w:hAnsiTheme="minorHAnsi" w:cstheme="minorHAnsi"/>
          <w:bCs/>
          <w:sz w:val="24"/>
          <w:szCs w:val="24"/>
          <w:lang w:val="fr-BE" w:eastAsia="en-GB"/>
        </w:rPr>
        <w:t xml:space="preserve">La différence entre ces deux catégories d’intervenants est la </w:t>
      </w:r>
      <w:r w:rsidR="0058746C" w:rsidRPr="00113AF2">
        <w:rPr>
          <w:rFonts w:asciiTheme="minorHAnsi" w:eastAsia="Times New Roman" w:hAnsiTheme="minorHAnsi" w:cstheme="minorHAnsi"/>
          <w:bCs/>
          <w:sz w:val="24"/>
          <w:szCs w:val="24"/>
          <w:lang w:val="fr-BE" w:eastAsia="en-GB"/>
        </w:rPr>
        <w:t>suivante :</w:t>
      </w:r>
      <w:r w:rsidRPr="00113AF2">
        <w:rPr>
          <w:rFonts w:asciiTheme="minorHAnsi" w:eastAsia="Times New Roman" w:hAnsiTheme="minorHAnsi" w:cstheme="minorHAnsi"/>
          <w:bCs/>
          <w:sz w:val="24"/>
          <w:szCs w:val="24"/>
          <w:lang w:val="fr-BE" w:eastAsia="en-GB"/>
        </w:rPr>
        <w:t xml:space="preserve"> seuls les secrétariats sociaux agréés peuvent percevoir les cotisations sociales des employeurs qui lui sont affiliés pour ensuite les verser aux institutions chargées de la perception des cotisations de sécurité sociale (principalement l’ONSS</w:t>
      </w:r>
      <w:r w:rsidR="00BC6BFF">
        <w:rPr>
          <w:rFonts w:asciiTheme="minorHAnsi" w:eastAsia="Times New Roman" w:hAnsiTheme="minorHAnsi" w:cstheme="minorHAnsi"/>
          <w:bCs/>
          <w:sz w:val="24"/>
          <w:szCs w:val="24"/>
          <w:lang w:val="fr-BE" w:eastAsia="en-GB"/>
        </w:rPr>
        <w:t>.)</w:t>
      </w:r>
      <w:r w:rsidR="002E07ED" w:rsidRPr="00BC6BFF">
        <w:rPr>
          <w:rFonts w:asciiTheme="minorHAnsi" w:eastAsia="Times New Roman" w:hAnsiTheme="minorHAnsi" w:cstheme="minorHAnsi"/>
          <w:bCs/>
          <w:sz w:val="24"/>
          <w:szCs w:val="24"/>
          <w:lang w:val="fr-BE" w:eastAsia="en-GB"/>
        </w:rPr>
        <w:t xml:space="preserve"> </w:t>
      </w:r>
      <w:r w:rsidR="00A757AD">
        <w:rPr>
          <w:rFonts w:asciiTheme="minorHAnsi" w:eastAsia="Times New Roman" w:hAnsiTheme="minorHAnsi" w:cstheme="minorHAnsi"/>
          <w:bCs/>
          <w:sz w:val="24"/>
          <w:szCs w:val="24"/>
          <w:lang w:val="fr-BE" w:eastAsia="en-GB"/>
        </w:rPr>
        <w:t>L’ONSS doit être informé de ce mandat au moyen d’un document (« procuration »)</w:t>
      </w:r>
    </w:p>
    <w:p w14:paraId="0098FA97" w14:textId="77777777" w:rsidR="008D7638" w:rsidRPr="00113AF2" w:rsidRDefault="008D7638" w:rsidP="008D7638">
      <w:pPr>
        <w:spacing w:after="0" w:line="240" w:lineRule="atLeast"/>
        <w:jc w:val="both"/>
        <w:rPr>
          <w:rFonts w:asciiTheme="minorHAnsi" w:eastAsia="Times New Roman" w:hAnsiTheme="minorHAnsi" w:cstheme="minorHAnsi"/>
          <w:bCs/>
          <w:i/>
          <w:sz w:val="24"/>
          <w:szCs w:val="24"/>
          <w:lang w:val="fr-BE" w:eastAsia="en-GB"/>
        </w:rPr>
      </w:pPr>
    </w:p>
    <w:p w14:paraId="07D22117" w14:textId="77777777" w:rsidR="008D7638" w:rsidRPr="00113AF2" w:rsidRDefault="008D7638" w:rsidP="008D7638">
      <w:pPr>
        <w:spacing w:after="0" w:line="240" w:lineRule="atLeast"/>
        <w:jc w:val="both"/>
        <w:rPr>
          <w:rFonts w:asciiTheme="minorHAnsi" w:eastAsia="Times New Roman" w:hAnsiTheme="minorHAnsi" w:cstheme="minorHAnsi"/>
          <w:bCs/>
          <w:i/>
          <w:sz w:val="24"/>
          <w:szCs w:val="24"/>
          <w:lang w:val="fr-BE" w:eastAsia="en-GB"/>
        </w:rPr>
      </w:pPr>
      <w:r w:rsidRPr="00113AF2">
        <w:rPr>
          <w:rFonts w:asciiTheme="minorHAnsi" w:eastAsia="Times New Roman" w:hAnsiTheme="minorHAnsi" w:cstheme="minorHAnsi"/>
          <w:bCs/>
          <w:i/>
          <w:sz w:val="24"/>
          <w:szCs w:val="24"/>
          <w:lang w:val="fr-BE" w:eastAsia="en-GB"/>
        </w:rPr>
        <w:t>Organismes privés</w:t>
      </w:r>
    </w:p>
    <w:p w14:paraId="234C259B" w14:textId="77777777" w:rsidR="008D7638" w:rsidRPr="00113AF2" w:rsidRDefault="008D7638" w:rsidP="008D7638">
      <w:pPr>
        <w:spacing w:after="0" w:line="240" w:lineRule="atLeast"/>
        <w:jc w:val="both"/>
        <w:rPr>
          <w:rFonts w:asciiTheme="minorHAnsi" w:eastAsia="Times New Roman" w:hAnsiTheme="minorHAnsi" w:cstheme="minorHAnsi"/>
          <w:bCs/>
          <w:sz w:val="24"/>
          <w:szCs w:val="24"/>
          <w:lang w:val="fr-BE" w:eastAsia="en-GB"/>
        </w:rPr>
      </w:pPr>
    </w:p>
    <w:p w14:paraId="3B4B7DC5" w14:textId="26B8E91C" w:rsidR="008D7638" w:rsidRPr="00113AF2" w:rsidRDefault="008D7638" w:rsidP="008D7638">
      <w:pPr>
        <w:spacing w:after="0" w:line="240" w:lineRule="atLeast"/>
        <w:jc w:val="both"/>
        <w:rPr>
          <w:rFonts w:asciiTheme="minorHAnsi" w:eastAsia="Times New Roman" w:hAnsiTheme="minorHAnsi" w:cstheme="minorHAnsi"/>
          <w:bCs/>
          <w:sz w:val="24"/>
          <w:szCs w:val="24"/>
          <w:lang w:val="fr-BE" w:eastAsia="en-GB"/>
        </w:rPr>
      </w:pPr>
      <w:r w:rsidRPr="00113AF2">
        <w:rPr>
          <w:rFonts w:asciiTheme="minorHAnsi" w:eastAsia="Times New Roman" w:hAnsiTheme="minorHAnsi" w:cstheme="minorHAnsi"/>
          <w:bCs/>
          <w:sz w:val="24"/>
          <w:szCs w:val="24"/>
          <w:lang w:val="fr-BE" w:eastAsia="en-GB"/>
        </w:rPr>
        <w:t xml:space="preserve">Les prestataires de services sociaux et les secrétariats sociaux agréés sont tous des prestataires de services privés. Leurs prestations sont dès lors rémunérées par l’employeur-client. </w:t>
      </w:r>
    </w:p>
    <w:p w14:paraId="5A24B137" w14:textId="77777777" w:rsidR="00392178" w:rsidRPr="00113AF2" w:rsidRDefault="00392178" w:rsidP="008D7638">
      <w:pPr>
        <w:spacing w:after="0" w:line="240" w:lineRule="atLeast"/>
        <w:jc w:val="both"/>
        <w:rPr>
          <w:rFonts w:asciiTheme="minorHAnsi" w:eastAsia="Times New Roman" w:hAnsiTheme="minorHAnsi" w:cstheme="minorHAnsi"/>
          <w:bCs/>
          <w:sz w:val="24"/>
          <w:szCs w:val="24"/>
          <w:lang w:val="fr-BE" w:eastAsia="en-GB"/>
        </w:rPr>
      </w:pPr>
    </w:p>
    <w:p w14:paraId="4CAF6771" w14:textId="77777777" w:rsidR="008D7638" w:rsidRPr="00113AF2" w:rsidRDefault="008D7638" w:rsidP="008D7638">
      <w:pPr>
        <w:spacing w:after="0" w:line="240" w:lineRule="atLeast"/>
        <w:jc w:val="both"/>
        <w:rPr>
          <w:rFonts w:asciiTheme="minorHAnsi" w:eastAsia="Times New Roman" w:hAnsiTheme="minorHAnsi" w:cstheme="minorHAnsi"/>
          <w:bCs/>
          <w:i/>
          <w:sz w:val="24"/>
          <w:szCs w:val="24"/>
          <w:lang w:val="fr-BE" w:eastAsia="en-GB"/>
        </w:rPr>
      </w:pPr>
      <w:r w:rsidRPr="00113AF2">
        <w:rPr>
          <w:rFonts w:asciiTheme="minorHAnsi" w:eastAsia="Times New Roman" w:hAnsiTheme="minorHAnsi" w:cstheme="minorHAnsi"/>
          <w:bCs/>
          <w:i/>
          <w:sz w:val="24"/>
          <w:szCs w:val="24"/>
          <w:lang w:val="fr-BE" w:eastAsia="en-GB"/>
        </w:rPr>
        <w:t>Mandat écrit</w:t>
      </w:r>
    </w:p>
    <w:p w14:paraId="00203970" w14:textId="77777777" w:rsidR="008D7638" w:rsidRPr="00113AF2" w:rsidRDefault="008D7638" w:rsidP="008D7638">
      <w:pPr>
        <w:spacing w:after="0" w:line="240" w:lineRule="atLeast"/>
        <w:jc w:val="both"/>
        <w:rPr>
          <w:rFonts w:asciiTheme="minorHAnsi" w:eastAsia="Times New Roman" w:hAnsiTheme="minorHAnsi" w:cstheme="minorHAnsi"/>
          <w:bCs/>
          <w:sz w:val="24"/>
          <w:szCs w:val="24"/>
          <w:lang w:val="fr-BE" w:eastAsia="en-GB"/>
        </w:rPr>
      </w:pPr>
    </w:p>
    <w:p w14:paraId="6F4839ED" w14:textId="1ED3954A" w:rsidR="00392178" w:rsidRPr="00113AF2" w:rsidRDefault="00392178" w:rsidP="002244B4">
      <w:pPr>
        <w:spacing w:after="0" w:line="240" w:lineRule="auto"/>
        <w:jc w:val="both"/>
        <w:rPr>
          <w:rFonts w:asciiTheme="minorHAnsi" w:eastAsia="Times New Roman" w:hAnsiTheme="minorHAnsi" w:cstheme="minorHAnsi"/>
          <w:b/>
          <w:bCs/>
          <w:sz w:val="24"/>
          <w:szCs w:val="24"/>
          <w:lang w:val="fr-BE" w:eastAsia="en-GB"/>
        </w:rPr>
      </w:pPr>
      <w:r w:rsidRPr="00113AF2">
        <w:rPr>
          <w:rFonts w:asciiTheme="minorHAnsi" w:eastAsia="Times New Roman" w:hAnsiTheme="minorHAnsi" w:cstheme="minorHAnsi"/>
          <w:sz w:val="24"/>
          <w:szCs w:val="24"/>
          <w:lang w:val="fr-BE" w:eastAsia="en-GB"/>
        </w:rPr>
        <w:t>La réglementation belge impose que le rôle et la mission du mandataire soient précisés dans un contrat écrit</w:t>
      </w:r>
      <w:r w:rsidR="00D0764B" w:rsidRPr="00113AF2">
        <w:rPr>
          <w:rFonts w:asciiTheme="minorHAnsi" w:eastAsia="Times New Roman" w:hAnsiTheme="minorHAnsi" w:cstheme="minorHAnsi"/>
          <w:sz w:val="24"/>
          <w:szCs w:val="24"/>
          <w:lang w:val="fr-BE" w:eastAsia="en-GB"/>
        </w:rPr>
        <w:t xml:space="preserve"> conclu entre ce mandataire et l’employeur</w:t>
      </w:r>
      <w:r w:rsidR="008D7638" w:rsidRPr="00113AF2">
        <w:rPr>
          <w:rFonts w:asciiTheme="minorHAnsi" w:eastAsia="Times New Roman" w:hAnsiTheme="minorHAnsi" w:cstheme="minorHAnsi"/>
          <w:sz w:val="24"/>
          <w:szCs w:val="24"/>
          <w:lang w:val="fr-BE" w:eastAsia="en-GB"/>
        </w:rPr>
        <w:t>.</w:t>
      </w:r>
      <w:r w:rsidRPr="00113AF2">
        <w:rPr>
          <w:rFonts w:asciiTheme="minorHAnsi" w:eastAsia="Times New Roman" w:hAnsiTheme="minorHAnsi" w:cstheme="minorHAnsi"/>
          <w:sz w:val="24"/>
          <w:szCs w:val="24"/>
          <w:lang w:val="fr-BE" w:eastAsia="en-GB"/>
        </w:rPr>
        <w:t xml:space="preserve"> </w:t>
      </w:r>
    </w:p>
    <w:p w14:paraId="40E33ACD" w14:textId="77777777" w:rsidR="00392178" w:rsidRPr="00113AF2" w:rsidRDefault="00392178" w:rsidP="002244B4">
      <w:pPr>
        <w:spacing w:after="0" w:line="240" w:lineRule="auto"/>
        <w:jc w:val="both"/>
        <w:rPr>
          <w:rFonts w:asciiTheme="minorHAnsi" w:eastAsia="Times New Roman" w:hAnsiTheme="minorHAnsi" w:cstheme="minorHAnsi"/>
          <w:bCs/>
          <w:sz w:val="24"/>
          <w:szCs w:val="24"/>
          <w:lang w:val="fr-BE" w:eastAsia="en-GB"/>
        </w:rPr>
      </w:pPr>
    </w:p>
    <w:p w14:paraId="68539C84" w14:textId="1231B3B0" w:rsidR="00945CD8" w:rsidRPr="0058746C" w:rsidRDefault="00392178" w:rsidP="002244B4">
      <w:pPr>
        <w:spacing w:after="0" w:line="240" w:lineRule="auto"/>
        <w:jc w:val="both"/>
        <w:rPr>
          <w:rFonts w:asciiTheme="minorHAnsi" w:eastAsia="Times New Roman" w:hAnsiTheme="minorHAnsi" w:cstheme="minorHAnsi"/>
          <w:sz w:val="24"/>
          <w:szCs w:val="24"/>
          <w:highlight w:val="yellow"/>
          <w:lang w:val="fr-BE" w:eastAsia="en-GB"/>
        </w:rPr>
      </w:pPr>
      <w:r w:rsidRPr="00113AF2">
        <w:rPr>
          <w:rFonts w:asciiTheme="minorHAnsi" w:eastAsia="Times New Roman" w:hAnsiTheme="minorHAnsi" w:cstheme="minorHAnsi"/>
          <w:sz w:val="24"/>
          <w:szCs w:val="24"/>
          <w:lang w:val="fr-BE" w:eastAsia="en-GB"/>
        </w:rPr>
        <w:t>Si l’employeur fait appel à un secrétariat social agréé pour effect</w:t>
      </w:r>
      <w:r w:rsidR="00945CD8" w:rsidRPr="00113AF2">
        <w:rPr>
          <w:rFonts w:asciiTheme="minorHAnsi" w:eastAsia="Times New Roman" w:hAnsiTheme="minorHAnsi" w:cstheme="minorHAnsi"/>
          <w:sz w:val="24"/>
          <w:szCs w:val="24"/>
          <w:lang w:val="fr-BE" w:eastAsia="en-GB"/>
        </w:rPr>
        <w:t>u</w:t>
      </w:r>
      <w:r w:rsidRPr="00113AF2">
        <w:rPr>
          <w:rFonts w:asciiTheme="minorHAnsi" w:eastAsia="Times New Roman" w:hAnsiTheme="minorHAnsi" w:cstheme="minorHAnsi"/>
          <w:sz w:val="24"/>
          <w:szCs w:val="24"/>
          <w:lang w:val="fr-BE" w:eastAsia="en-GB"/>
        </w:rPr>
        <w:t xml:space="preserve">er ses déclarations, </w:t>
      </w:r>
      <w:r w:rsidR="00945CD8" w:rsidRPr="00113AF2">
        <w:rPr>
          <w:rFonts w:asciiTheme="minorHAnsi" w:eastAsia="Times New Roman" w:hAnsiTheme="minorHAnsi" w:cstheme="minorHAnsi"/>
          <w:sz w:val="24"/>
          <w:szCs w:val="24"/>
          <w:lang w:val="fr-BE" w:eastAsia="en-GB"/>
        </w:rPr>
        <w:t>il doit lui transmettre toutes les informations correctes et complètes lui permettant d’exécuter le mandat convenu</w:t>
      </w:r>
      <w:r w:rsidR="00945CD8" w:rsidRPr="00BC6BFF">
        <w:rPr>
          <w:rFonts w:asciiTheme="minorHAnsi" w:eastAsia="Times New Roman" w:hAnsiTheme="minorHAnsi" w:cstheme="minorHAnsi"/>
          <w:sz w:val="24"/>
          <w:szCs w:val="24"/>
          <w:lang w:val="fr-BE" w:eastAsia="en-GB"/>
        </w:rPr>
        <w:t xml:space="preserve">, dans les délais </w:t>
      </w:r>
      <w:r w:rsidR="00A757AD" w:rsidRPr="00BC6BFF">
        <w:rPr>
          <w:rFonts w:asciiTheme="minorHAnsi" w:eastAsia="Times New Roman" w:hAnsiTheme="minorHAnsi" w:cstheme="minorHAnsi"/>
          <w:sz w:val="24"/>
          <w:szCs w:val="24"/>
          <w:lang w:val="fr-BE" w:eastAsia="en-GB"/>
        </w:rPr>
        <w:t>légaux</w:t>
      </w:r>
      <w:r w:rsidR="00BC6BFF" w:rsidRPr="00BC6BFF">
        <w:rPr>
          <w:rFonts w:asciiTheme="minorHAnsi" w:eastAsia="Times New Roman" w:hAnsiTheme="minorHAnsi" w:cstheme="minorHAnsi"/>
          <w:sz w:val="24"/>
          <w:szCs w:val="24"/>
          <w:lang w:val="fr-BE" w:eastAsia="en-GB"/>
        </w:rPr>
        <w:t>.</w:t>
      </w:r>
    </w:p>
    <w:p w14:paraId="6AA8702F" w14:textId="589CD65E" w:rsidR="00945CD8" w:rsidRPr="00113AF2" w:rsidRDefault="00945CD8" w:rsidP="002244B4">
      <w:pPr>
        <w:spacing w:after="0" w:line="240" w:lineRule="auto"/>
        <w:ind w:right="-2"/>
        <w:jc w:val="both"/>
        <w:rPr>
          <w:rFonts w:asciiTheme="minorHAnsi" w:eastAsia="Times New Roman" w:hAnsiTheme="minorHAnsi" w:cstheme="minorHAnsi"/>
          <w:sz w:val="24"/>
          <w:szCs w:val="24"/>
          <w:lang w:val="fr-BE"/>
        </w:rPr>
      </w:pPr>
    </w:p>
    <w:p w14:paraId="13D8B08A" w14:textId="1D7B0577" w:rsidR="002244B4" w:rsidRPr="00113AF2" w:rsidRDefault="002244B4" w:rsidP="002244B4">
      <w:pPr>
        <w:spacing w:after="0" w:line="240" w:lineRule="auto"/>
        <w:ind w:right="-2"/>
        <w:jc w:val="both"/>
        <w:rPr>
          <w:rFonts w:asciiTheme="minorHAnsi" w:eastAsia="Times New Roman" w:hAnsiTheme="minorHAnsi" w:cstheme="minorHAnsi"/>
          <w:i/>
          <w:sz w:val="24"/>
          <w:szCs w:val="24"/>
          <w:lang w:val="fr-BE"/>
        </w:rPr>
      </w:pPr>
      <w:r w:rsidRPr="00113AF2">
        <w:rPr>
          <w:rFonts w:asciiTheme="minorHAnsi" w:eastAsia="Times New Roman" w:hAnsiTheme="minorHAnsi" w:cstheme="minorHAnsi"/>
          <w:i/>
          <w:sz w:val="24"/>
          <w:szCs w:val="24"/>
          <w:lang w:val="fr-BE"/>
        </w:rPr>
        <w:t>Responsabilité de l’employeur</w:t>
      </w:r>
    </w:p>
    <w:p w14:paraId="34FFF083" w14:textId="77777777" w:rsidR="002244B4" w:rsidRPr="00113AF2" w:rsidRDefault="002244B4" w:rsidP="002244B4">
      <w:pPr>
        <w:spacing w:after="0" w:line="240" w:lineRule="auto"/>
        <w:ind w:right="-2"/>
        <w:jc w:val="both"/>
        <w:rPr>
          <w:rFonts w:asciiTheme="minorHAnsi" w:eastAsia="Times New Roman" w:hAnsiTheme="minorHAnsi" w:cstheme="minorHAnsi"/>
          <w:sz w:val="24"/>
          <w:szCs w:val="24"/>
          <w:lang w:val="fr-BE"/>
        </w:rPr>
      </w:pPr>
    </w:p>
    <w:p w14:paraId="5AE49B0E" w14:textId="77777777" w:rsidR="00020C0E" w:rsidRPr="00113AF2" w:rsidRDefault="00020C0E" w:rsidP="002244B4">
      <w:pPr>
        <w:autoSpaceDE w:val="0"/>
        <w:autoSpaceDN w:val="0"/>
        <w:adjustRightInd w:val="0"/>
        <w:spacing w:after="0" w:line="240" w:lineRule="auto"/>
        <w:jc w:val="both"/>
        <w:rPr>
          <w:rFonts w:asciiTheme="minorHAnsi" w:eastAsia="Times New Roman" w:hAnsiTheme="minorHAnsi" w:cstheme="minorHAnsi"/>
          <w:sz w:val="24"/>
          <w:szCs w:val="24"/>
          <w:lang w:val="fr-FR" w:eastAsia="en-GB"/>
        </w:rPr>
      </w:pPr>
      <w:r w:rsidRPr="00113AF2">
        <w:rPr>
          <w:rFonts w:asciiTheme="minorHAnsi" w:eastAsia="Times New Roman" w:hAnsiTheme="minorHAnsi" w:cstheme="minorHAnsi"/>
          <w:sz w:val="24"/>
          <w:szCs w:val="24"/>
          <w:lang w:val="fr-BE" w:eastAsia="en-GB"/>
        </w:rPr>
        <w:t xml:space="preserve">Mais </w:t>
      </w:r>
      <w:r w:rsidRPr="00113AF2">
        <w:rPr>
          <w:rFonts w:asciiTheme="minorHAnsi" w:eastAsia="Times New Roman" w:hAnsiTheme="minorHAnsi" w:cstheme="minorHAnsi"/>
          <w:sz w:val="24"/>
          <w:szCs w:val="24"/>
          <w:lang w:val="fr-FR" w:eastAsia="en-GB"/>
        </w:rPr>
        <w:t xml:space="preserve">l’employeur reste responsable de l’exécution correcte des formalités de sécurité sociale. </w:t>
      </w:r>
      <w:r w:rsidR="008D7638" w:rsidRPr="00113AF2">
        <w:rPr>
          <w:rFonts w:asciiTheme="minorHAnsi" w:eastAsia="Times New Roman" w:hAnsiTheme="minorHAnsi" w:cstheme="minorHAnsi"/>
          <w:sz w:val="24"/>
          <w:szCs w:val="24"/>
          <w:lang w:val="fr-BE" w:eastAsia="en-GB"/>
        </w:rPr>
        <w:t xml:space="preserve">Lorsque les obligations d’un employeur à l’égard d’une institution de sécurité sociale ne sont pas effectuées dans les délais, ou ne sont pas correctes ou pas complètes, </w:t>
      </w:r>
      <w:r w:rsidRPr="00113AF2">
        <w:rPr>
          <w:rFonts w:asciiTheme="minorHAnsi" w:eastAsia="Times New Roman" w:hAnsiTheme="minorHAnsi" w:cstheme="minorHAnsi"/>
          <w:sz w:val="24"/>
          <w:szCs w:val="24"/>
          <w:lang w:val="fr-FR" w:eastAsia="en-GB"/>
        </w:rPr>
        <w:t xml:space="preserve">les institutions de sécurité sociale s’adresseront à l’employeur et pas au </w:t>
      </w:r>
      <w:r w:rsidR="008D7638" w:rsidRPr="00113AF2">
        <w:rPr>
          <w:rFonts w:asciiTheme="minorHAnsi" w:eastAsia="Times New Roman" w:hAnsiTheme="minorHAnsi" w:cstheme="minorHAnsi"/>
          <w:sz w:val="24"/>
          <w:szCs w:val="24"/>
          <w:lang w:val="fr-FR" w:eastAsia="en-GB"/>
        </w:rPr>
        <w:t>mandataire</w:t>
      </w:r>
      <w:r w:rsidRPr="00113AF2">
        <w:rPr>
          <w:rFonts w:asciiTheme="minorHAnsi" w:eastAsia="Times New Roman" w:hAnsiTheme="minorHAnsi" w:cstheme="minorHAnsi"/>
          <w:sz w:val="24"/>
          <w:szCs w:val="24"/>
          <w:lang w:val="fr-FR" w:eastAsia="en-GB"/>
        </w:rPr>
        <w:t>.</w:t>
      </w:r>
    </w:p>
    <w:p w14:paraId="2D8D8A6C" w14:textId="77777777" w:rsidR="002244B4" w:rsidRPr="00113AF2" w:rsidRDefault="002244B4" w:rsidP="002244B4">
      <w:pPr>
        <w:autoSpaceDE w:val="0"/>
        <w:autoSpaceDN w:val="0"/>
        <w:adjustRightInd w:val="0"/>
        <w:spacing w:after="0" w:line="240" w:lineRule="auto"/>
        <w:jc w:val="both"/>
        <w:rPr>
          <w:rFonts w:asciiTheme="minorHAnsi" w:eastAsia="Times New Roman" w:hAnsiTheme="minorHAnsi" w:cstheme="minorHAnsi"/>
          <w:sz w:val="24"/>
          <w:szCs w:val="24"/>
          <w:lang w:val="fr-FR" w:eastAsia="en-GB"/>
        </w:rPr>
      </w:pPr>
    </w:p>
    <w:p w14:paraId="0F1D5C14" w14:textId="1497D02D" w:rsidR="00020C0E" w:rsidRPr="0058746C" w:rsidRDefault="00020C0E" w:rsidP="002E07ED">
      <w:pPr>
        <w:autoSpaceDE w:val="0"/>
        <w:autoSpaceDN w:val="0"/>
        <w:adjustRightInd w:val="0"/>
        <w:spacing w:after="0" w:line="240" w:lineRule="auto"/>
        <w:jc w:val="both"/>
        <w:rPr>
          <w:rFonts w:asciiTheme="minorHAnsi" w:eastAsia="Times New Roman" w:hAnsiTheme="minorHAnsi" w:cstheme="minorHAnsi"/>
          <w:sz w:val="24"/>
          <w:szCs w:val="24"/>
          <w:highlight w:val="yellow"/>
          <w:lang w:val="fr-FR" w:eastAsia="en-GB"/>
        </w:rPr>
      </w:pPr>
      <w:r w:rsidRPr="00113AF2">
        <w:rPr>
          <w:rFonts w:asciiTheme="minorHAnsi" w:eastAsia="Times New Roman" w:hAnsiTheme="minorHAnsi" w:cstheme="minorHAnsi"/>
          <w:sz w:val="24"/>
          <w:szCs w:val="24"/>
          <w:lang w:val="fr-FR" w:eastAsia="en-GB"/>
        </w:rPr>
        <w:t>Si le mandataire</w:t>
      </w:r>
      <w:r w:rsidR="008D7638" w:rsidRPr="00113AF2">
        <w:rPr>
          <w:rFonts w:asciiTheme="minorHAnsi" w:eastAsia="Times New Roman" w:hAnsiTheme="minorHAnsi" w:cstheme="minorHAnsi"/>
          <w:sz w:val="24"/>
          <w:szCs w:val="24"/>
          <w:lang w:val="fr-FR" w:eastAsia="en-GB"/>
        </w:rPr>
        <w:t xml:space="preserve"> désigné n’exerce pas correctement ses obligations,</w:t>
      </w:r>
      <w:r w:rsidR="002D30F3" w:rsidRPr="00113AF2">
        <w:rPr>
          <w:rFonts w:asciiTheme="minorHAnsi" w:eastAsia="Times New Roman" w:hAnsiTheme="minorHAnsi" w:cstheme="minorHAnsi"/>
          <w:sz w:val="24"/>
          <w:szCs w:val="24"/>
          <w:lang w:val="fr-FR" w:eastAsia="en-GB"/>
        </w:rPr>
        <w:t xml:space="preserve"> l’employeur pourra ensuite</w:t>
      </w:r>
      <w:r w:rsidRPr="00113AF2">
        <w:rPr>
          <w:rFonts w:asciiTheme="minorHAnsi" w:eastAsia="Times New Roman" w:hAnsiTheme="minorHAnsi" w:cstheme="minorHAnsi"/>
          <w:sz w:val="24"/>
          <w:szCs w:val="24"/>
          <w:lang w:val="fr-FR" w:eastAsia="en-GB"/>
        </w:rPr>
        <w:t xml:space="preserve"> se retourner ensuite contre </w:t>
      </w:r>
      <w:r w:rsidR="002D30F3" w:rsidRPr="00113AF2">
        <w:rPr>
          <w:rFonts w:asciiTheme="minorHAnsi" w:eastAsia="Times New Roman" w:hAnsiTheme="minorHAnsi" w:cstheme="minorHAnsi"/>
          <w:sz w:val="24"/>
          <w:szCs w:val="24"/>
          <w:lang w:val="fr-FR" w:eastAsia="en-GB"/>
        </w:rPr>
        <w:t>c</w:t>
      </w:r>
      <w:r w:rsidRPr="00113AF2">
        <w:rPr>
          <w:rFonts w:asciiTheme="minorHAnsi" w:eastAsia="Times New Roman" w:hAnsiTheme="minorHAnsi" w:cstheme="minorHAnsi"/>
          <w:sz w:val="24"/>
          <w:szCs w:val="24"/>
          <w:lang w:val="fr-FR" w:eastAsia="en-GB"/>
        </w:rPr>
        <w:t xml:space="preserve">e mandataire </w:t>
      </w:r>
      <w:r w:rsidR="00EF777E">
        <w:rPr>
          <w:rFonts w:asciiTheme="minorHAnsi" w:eastAsia="Times New Roman" w:hAnsiTheme="minorHAnsi" w:cstheme="minorHAnsi"/>
          <w:sz w:val="24"/>
          <w:szCs w:val="24"/>
          <w:lang w:val="fr-FR" w:eastAsia="en-GB"/>
        </w:rPr>
        <w:t xml:space="preserve">si ce dernier a fait un erreur. </w:t>
      </w:r>
      <w:r w:rsidR="00EF777E">
        <w:rPr>
          <w:rFonts w:asciiTheme="minorHAnsi" w:eastAsia="Times New Roman" w:hAnsiTheme="minorHAnsi" w:cstheme="minorHAnsi"/>
          <w:sz w:val="24"/>
          <w:szCs w:val="24"/>
          <w:highlight w:val="yellow"/>
          <w:lang w:val="fr-FR" w:eastAsia="en-GB"/>
        </w:rPr>
        <w:t xml:space="preserve"> </w:t>
      </w:r>
    </w:p>
    <w:p w14:paraId="420ECBEE" w14:textId="77777777" w:rsidR="002E07ED" w:rsidRPr="0058746C" w:rsidRDefault="002E07ED" w:rsidP="002E07ED">
      <w:pPr>
        <w:autoSpaceDE w:val="0"/>
        <w:autoSpaceDN w:val="0"/>
        <w:adjustRightInd w:val="0"/>
        <w:spacing w:after="0" w:line="240" w:lineRule="auto"/>
        <w:jc w:val="both"/>
        <w:rPr>
          <w:rFonts w:asciiTheme="minorHAnsi" w:eastAsia="Times New Roman" w:hAnsiTheme="minorHAnsi" w:cstheme="minorHAnsi"/>
          <w:sz w:val="24"/>
          <w:szCs w:val="24"/>
          <w:highlight w:val="yellow"/>
          <w:lang w:val="fr-FR" w:eastAsia="en-GB"/>
        </w:rPr>
      </w:pPr>
    </w:p>
    <w:p w14:paraId="3F508D8E" w14:textId="6956528B" w:rsidR="00393867" w:rsidRPr="00113AF2" w:rsidRDefault="00601FDF" w:rsidP="008D7638">
      <w:pPr>
        <w:rPr>
          <w:rFonts w:asciiTheme="minorHAnsi" w:hAnsiTheme="minorHAnsi" w:cstheme="minorHAnsi"/>
          <w:sz w:val="24"/>
          <w:szCs w:val="24"/>
          <w:lang w:val="fr-BE"/>
        </w:rPr>
      </w:pPr>
      <w:r w:rsidRPr="00601FDF">
        <w:rPr>
          <w:rFonts w:asciiTheme="minorHAnsi" w:hAnsiTheme="minorHAnsi" w:cstheme="minorHAnsi"/>
          <w:sz w:val="24"/>
          <w:szCs w:val="24"/>
          <w:lang w:val="fr-BE"/>
        </w:rPr>
        <w:t xml:space="preserve">Vous trouverez la liste des secrétariats sociaux agréés et leurs coordonnées via cette adresse : </w:t>
      </w:r>
      <w:hyperlink r:id="rId7" w:history="1">
        <w:r w:rsidRPr="004B7441">
          <w:rPr>
            <w:rStyle w:val="Lienhypertexte"/>
            <w:rFonts w:asciiTheme="minorHAnsi" w:hAnsiTheme="minorHAnsi" w:cstheme="minorHAnsi"/>
            <w:sz w:val="24"/>
            <w:szCs w:val="24"/>
            <w:lang w:val="fr-BE"/>
          </w:rPr>
          <w:t>https://socialsecurity.belgium.be/fr/liens-belges</w:t>
        </w:r>
      </w:hyperlink>
      <w:r>
        <w:rPr>
          <w:rFonts w:asciiTheme="minorHAnsi" w:hAnsiTheme="minorHAnsi" w:cstheme="minorHAnsi"/>
          <w:sz w:val="24"/>
          <w:szCs w:val="24"/>
          <w:lang w:val="fr-BE"/>
        </w:rPr>
        <w:t xml:space="preserve"> </w:t>
      </w:r>
      <w:bookmarkStart w:id="0" w:name="_GoBack"/>
      <w:bookmarkEnd w:id="0"/>
    </w:p>
    <w:sectPr w:rsidR="00393867" w:rsidRPr="00113AF2">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05908" w14:textId="77777777" w:rsidR="00CE0061" w:rsidRDefault="00CE0061" w:rsidP="00392178">
      <w:pPr>
        <w:spacing w:after="0" w:line="240" w:lineRule="auto"/>
      </w:pPr>
      <w:r>
        <w:separator/>
      </w:r>
    </w:p>
  </w:endnote>
  <w:endnote w:type="continuationSeparator" w:id="0">
    <w:p w14:paraId="694A9BA4" w14:textId="77777777" w:rsidR="00CE0061" w:rsidRDefault="00CE0061" w:rsidP="0039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361598"/>
      <w:docPartObj>
        <w:docPartGallery w:val="Page Numbers (Bottom of Page)"/>
        <w:docPartUnique/>
      </w:docPartObj>
    </w:sdtPr>
    <w:sdtEndPr/>
    <w:sdtContent>
      <w:p w14:paraId="1D8EC6DA" w14:textId="11FF0491" w:rsidR="002244B4" w:rsidRDefault="002244B4">
        <w:pPr>
          <w:pStyle w:val="Pieddepage"/>
          <w:jc w:val="right"/>
        </w:pPr>
        <w:r>
          <w:fldChar w:fldCharType="begin"/>
        </w:r>
        <w:r>
          <w:instrText>PAGE   \* MERGEFORMAT</w:instrText>
        </w:r>
        <w:r>
          <w:fldChar w:fldCharType="separate"/>
        </w:r>
        <w:r>
          <w:rPr>
            <w:lang w:val="fr-FR"/>
          </w:rPr>
          <w:t>2</w:t>
        </w:r>
        <w:r>
          <w:fldChar w:fldCharType="end"/>
        </w:r>
      </w:p>
    </w:sdtContent>
  </w:sdt>
  <w:p w14:paraId="3E0F33B2" w14:textId="77777777" w:rsidR="002244B4" w:rsidRDefault="002244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0E760" w14:textId="77777777" w:rsidR="00CE0061" w:rsidRDefault="00CE0061" w:rsidP="00392178">
      <w:pPr>
        <w:spacing w:after="0" w:line="240" w:lineRule="auto"/>
      </w:pPr>
      <w:r>
        <w:separator/>
      </w:r>
    </w:p>
  </w:footnote>
  <w:footnote w:type="continuationSeparator" w:id="0">
    <w:p w14:paraId="082C1516" w14:textId="77777777" w:rsidR="00CE0061" w:rsidRDefault="00CE0061" w:rsidP="00392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67587"/>
    <w:multiLevelType w:val="hybridMultilevel"/>
    <w:tmpl w:val="23640E76"/>
    <w:lvl w:ilvl="0" w:tplc="4E3846AE">
      <w:start w:val="1"/>
      <w:numFmt w:val="bullet"/>
      <w:lvlText w:val="-"/>
      <w:lvlJc w:val="left"/>
      <w:pPr>
        <w:tabs>
          <w:tab w:val="num" w:pos="915"/>
        </w:tabs>
        <w:ind w:left="915" w:hanging="360"/>
      </w:pPr>
      <w:rPr>
        <w:rFonts w:ascii="Times New Roman" w:hAnsi="Times New Roman" w:cs="Times New Roman" w:hint="default"/>
      </w:rPr>
    </w:lvl>
    <w:lvl w:ilvl="1" w:tplc="08090003" w:tentative="1">
      <w:start w:val="1"/>
      <w:numFmt w:val="bullet"/>
      <w:lvlText w:val="o"/>
      <w:lvlJc w:val="left"/>
      <w:pPr>
        <w:tabs>
          <w:tab w:val="num" w:pos="1635"/>
        </w:tabs>
        <w:ind w:left="1635" w:hanging="360"/>
      </w:pPr>
      <w:rPr>
        <w:rFonts w:ascii="Courier New" w:hAnsi="Courier New" w:cs="Courier New" w:hint="default"/>
      </w:rPr>
    </w:lvl>
    <w:lvl w:ilvl="2" w:tplc="08090005" w:tentative="1">
      <w:start w:val="1"/>
      <w:numFmt w:val="bullet"/>
      <w:lvlText w:val=""/>
      <w:lvlJc w:val="left"/>
      <w:pPr>
        <w:tabs>
          <w:tab w:val="num" w:pos="2355"/>
        </w:tabs>
        <w:ind w:left="2355" w:hanging="360"/>
      </w:pPr>
      <w:rPr>
        <w:rFonts w:ascii="Wingdings" w:hAnsi="Wingdings" w:hint="default"/>
      </w:rPr>
    </w:lvl>
    <w:lvl w:ilvl="3" w:tplc="08090001" w:tentative="1">
      <w:start w:val="1"/>
      <w:numFmt w:val="bullet"/>
      <w:lvlText w:val=""/>
      <w:lvlJc w:val="left"/>
      <w:pPr>
        <w:tabs>
          <w:tab w:val="num" w:pos="3075"/>
        </w:tabs>
        <w:ind w:left="3075" w:hanging="360"/>
      </w:pPr>
      <w:rPr>
        <w:rFonts w:ascii="Symbol" w:hAnsi="Symbol" w:hint="default"/>
      </w:rPr>
    </w:lvl>
    <w:lvl w:ilvl="4" w:tplc="08090003" w:tentative="1">
      <w:start w:val="1"/>
      <w:numFmt w:val="bullet"/>
      <w:lvlText w:val="o"/>
      <w:lvlJc w:val="left"/>
      <w:pPr>
        <w:tabs>
          <w:tab w:val="num" w:pos="3795"/>
        </w:tabs>
        <w:ind w:left="3795" w:hanging="360"/>
      </w:pPr>
      <w:rPr>
        <w:rFonts w:ascii="Courier New" w:hAnsi="Courier New" w:cs="Courier New" w:hint="default"/>
      </w:rPr>
    </w:lvl>
    <w:lvl w:ilvl="5" w:tplc="08090005" w:tentative="1">
      <w:start w:val="1"/>
      <w:numFmt w:val="bullet"/>
      <w:lvlText w:val=""/>
      <w:lvlJc w:val="left"/>
      <w:pPr>
        <w:tabs>
          <w:tab w:val="num" w:pos="4515"/>
        </w:tabs>
        <w:ind w:left="4515" w:hanging="360"/>
      </w:pPr>
      <w:rPr>
        <w:rFonts w:ascii="Wingdings" w:hAnsi="Wingdings" w:hint="default"/>
      </w:rPr>
    </w:lvl>
    <w:lvl w:ilvl="6" w:tplc="08090001" w:tentative="1">
      <w:start w:val="1"/>
      <w:numFmt w:val="bullet"/>
      <w:lvlText w:val=""/>
      <w:lvlJc w:val="left"/>
      <w:pPr>
        <w:tabs>
          <w:tab w:val="num" w:pos="5235"/>
        </w:tabs>
        <w:ind w:left="5235" w:hanging="360"/>
      </w:pPr>
      <w:rPr>
        <w:rFonts w:ascii="Symbol" w:hAnsi="Symbol" w:hint="default"/>
      </w:rPr>
    </w:lvl>
    <w:lvl w:ilvl="7" w:tplc="08090003" w:tentative="1">
      <w:start w:val="1"/>
      <w:numFmt w:val="bullet"/>
      <w:lvlText w:val="o"/>
      <w:lvlJc w:val="left"/>
      <w:pPr>
        <w:tabs>
          <w:tab w:val="num" w:pos="5955"/>
        </w:tabs>
        <w:ind w:left="5955" w:hanging="360"/>
      </w:pPr>
      <w:rPr>
        <w:rFonts w:ascii="Courier New" w:hAnsi="Courier New" w:cs="Courier New" w:hint="default"/>
      </w:rPr>
    </w:lvl>
    <w:lvl w:ilvl="8" w:tplc="08090005" w:tentative="1">
      <w:start w:val="1"/>
      <w:numFmt w:val="bullet"/>
      <w:lvlText w:val=""/>
      <w:lvlJc w:val="left"/>
      <w:pPr>
        <w:tabs>
          <w:tab w:val="num" w:pos="6675"/>
        </w:tabs>
        <w:ind w:left="6675" w:hanging="360"/>
      </w:pPr>
      <w:rPr>
        <w:rFonts w:ascii="Wingdings" w:hAnsi="Wingdings" w:hint="default"/>
      </w:rPr>
    </w:lvl>
  </w:abstractNum>
  <w:abstractNum w:abstractNumId="1" w15:restartNumberingAfterBreak="0">
    <w:nsid w:val="72F610CC"/>
    <w:multiLevelType w:val="hybridMultilevel"/>
    <w:tmpl w:val="28209A38"/>
    <w:lvl w:ilvl="0" w:tplc="4E3846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78"/>
    <w:rsid w:val="00020C0E"/>
    <w:rsid w:val="00113AF2"/>
    <w:rsid w:val="00191E83"/>
    <w:rsid w:val="002244B4"/>
    <w:rsid w:val="00243C1F"/>
    <w:rsid w:val="002D30F3"/>
    <w:rsid w:val="002E07ED"/>
    <w:rsid w:val="00392178"/>
    <w:rsid w:val="00393867"/>
    <w:rsid w:val="0058746C"/>
    <w:rsid w:val="00601FDF"/>
    <w:rsid w:val="008D7638"/>
    <w:rsid w:val="00945CD8"/>
    <w:rsid w:val="00A757AD"/>
    <w:rsid w:val="00B6368F"/>
    <w:rsid w:val="00BC6BFF"/>
    <w:rsid w:val="00BE6E9A"/>
    <w:rsid w:val="00C93E33"/>
    <w:rsid w:val="00CE0061"/>
    <w:rsid w:val="00D0764B"/>
    <w:rsid w:val="00E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0F58"/>
  <w15:chartTrackingRefBased/>
  <w15:docId w15:val="{E5176B70-7500-4B27-A07F-45A9F901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178"/>
    <w:pPr>
      <w:spacing w:after="200" w:line="276" w:lineRule="auto"/>
    </w:pPr>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 Car,Note de bas de page Car Car Car,Note de bas de page Car1 Car15,Note de bas de page Car Car Car15,Note de bas de page Car1 Car15 Car Car,Note de bas de page Car Car Car15 Car Car,fn"/>
    <w:basedOn w:val="Normal"/>
    <w:link w:val="NotedebasdepageCar1"/>
    <w:semiHidden/>
    <w:rsid w:val="00392178"/>
    <w:pPr>
      <w:spacing w:after="0" w:line="240" w:lineRule="auto"/>
    </w:pPr>
    <w:rPr>
      <w:rFonts w:ascii="Times New Roman" w:eastAsia="Times New Roman" w:hAnsi="Times New Roman"/>
      <w:sz w:val="20"/>
      <w:szCs w:val="20"/>
      <w:lang w:eastAsia="en-GB"/>
    </w:rPr>
  </w:style>
  <w:style w:type="character" w:customStyle="1" w:styleId="NotedebasdepageCar">
    <w:name w:val="Note de bas de page Car"/>
    <w:basedOn w:val="Policepardfaut"/>
    <w:uiPriority w:val="99"/>
    <w:semiHidden/>
    <w:rsid w:val="00392178"/>
    <w:rPr>
      <w:rFonts w:ascii="Calibri" w:eastAsia="Calibri" w:hAnsi="Calibri" w:cs="Times New Roman"/>
      <w:sz w:val="20"/>
      <w:szCs w:val="20"/>
      <w:lang w:val="en-GB"/>
    </w:rPr>
  </w:style>
  <w:style w:type="character" w:styleId="Appelnotedebasdep">
    <w:name w:val="footnote reference"/>
    <w:aliases w:val="Appel note de bas de page,callout,Footnote Refernece,Footnotes refss,Footnote Reference Superscript,BVI fnr,Footnote Reference Number, BVI fnr"/>
    <w:semiHidden/>
    <w:rsid w:val="00392178"/>
    <w:rPr>
      <w:vertAlign w:val="superscript"/>
    </w:rPr>
  </w:style>
  <w:style w:type="character" w:customStyle="1" w:styleId="NotedebasdepageCar1">
    <w:name w:val="Note de bas de page Car1"/>
    <w:aliases w:val="Note de bas de page Car Car Car1,Note de bas de page Car Car Car Car,Note de bas de page Car1 Car15 Car,Note de bas de page Car Car Car15 Car,Note de bas de page Car1 Car15 Car Car Car,fn Car"/>
    <w:link w:val="Notedebasdepage"/>
    <w:semiHidden/>
    <w:locked/>
    <w:rsid w:val="00392178"/>
    <w:rPr>
      <w:rFonts w:ascii="Times New Roman" w:eastAsia="Times New Roman" w:hAnsi="Times New Roman" w:cs="Times New Roman"/>
      <w:sz w:val="20"/>
      <w:szCs w:val="20"/>
      <w:lang w:val="en-GB" w:eastAsia="en-GB"/>
    </w:rPr>
  </w:style>
  <w:style w:type="character" w:styleId="Marquedecommentaire">
    <w:name w:val="annotation reference"/>
    <w:basedOn w:val="Policepardfaut"/>
    <w:uiPriority w:val="99"/>
    <w:semiHidden/>
    <w:unhideWhenUsed/>
    <w:rsid w:val="008D7638"/>
    <w:rPr>
      <w:sz w:val="16"/>
      <w:szCs w:val="16"/>
    </w:rPr>
  </w:style>
  <w:style w:type="paragraph" w:styleId="Commentaire">
    <w:name w:val="annotation text"/>
    <w:basedOn w:val="Normal"/>
    <w:link w:val="CommentaireCar"/>
    <w:uiPriority w:val="99"/>
    <w:semiHidden/>
    <w:unhideWhenUsed/>
    <w:rsid w:val="008D7638"/>
    <w:pPr>
      <w:spacing w:line="240" w:lineRule="auto"/>
    </w:pPr>
    <w:rPr>
      <w:sz w:val="20"/>
      <w:szCs w:val="20"/>
    </w:rPr>
  </w:style>
  <w:style w:type="character" w:customStyle="1" w:styleId="CommentaireCar">
    <w:name w:val="Commentaire Car"/>
    <w:basedOn w:val="Policepardfaut"/>
    <w:link w:val="Commentaire"/>
    <w:uiPriority w:val="99"/>
    <w:semiHidden/>
    <w:rsid w:val="008D7638"/>
    <w:rPr>
      <w:rFonts w:ascii="Calibri" w:eastAsia="Calibri" w:hAnsi="Calibri"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8D7638"/>
    <w:rPr>
      <w:b/>
      <w:bCs/>
    </w:rPr>
  </w:style>
  <w:style w:type="character" w:customStyle="1" w:styleId="ObjetducommentaireCar">
    <w:name w:val="Objet du commentaire Car"/>
    <w:basedOn w:val="CommentaireCar"/>
    <w:link w:val="Objetducommentaire"/>
    <w:uiPriority w:val="99"/>
    <w:semiHidden/>
    <w:rsid w:val="008D7638"/>
    <w:rPr>
      <w:rFonts w:ascii="Calibri" w:eastAsia="Calibri" w:hAnsi="Calibri" w:cs="Times New Roman"/>
      <w:b/>
      <w:bCs/>
      <w:sz w:val="20"/>
      <w:szCs w:val="20"/>
      <w:lang w:val="en-GB"/>
    </w:rPr>
  </w:style>
  <w:style w:type="paragraph" w:styleId="Textedebulles">
    <w:name w:val="Balloon Text"/>
    <w:basedOn w:val="Normal"/>
    <w:link w:val="TextedebullesCar"/>
    <w:uiPriority w:val="99"/>
    <w:semiHidden/>
    <w:unhideWhenUsed/>
    <w:rsid w:val="008D76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7638"/>
    <w:rPr>
      <w:rFonts w:ascii="Segoe UI" w:eastAsia="Calibri" w:hAnsi="Segoe UI" w:cs="Segoe UI"/>
      <w:sz w:val="18"/>
      <w:szCs w:val="18"/>
      <w:lang w:val="en-GB"/>
    </w:rPr>
  </w:style>
  <w:style w:type="paragraph" w:styleId="En-tte">
    <w:name w:val="header"/>
    <w:basedOn w:val="Normal"/>
    <w:link w:val="En-tteCar"/>
    <w:uiPriority w:val="99"/>
    <w:unhideWhenUsed/>
    <w:rsid w:val="002244B4"/>
    <w:pPr>
      <w:tabs>
        <w:tab w:val="center" w:pos="4703"/>
        <w:tab w:val="right" w:pos="9406"/>
      </w:tabs>
      <w:spacing w:after="0" w:line="240" w:lineRule="auto"/>
    </w:pPr>
  </w:style>
  <w:style w:type="character" w:customStyle="1" w:styleId="En-tteCar">
    <w:name w:val="En-tête Car"/>
    <w:basedOn w:val="Policepardfaut"/>
    <w:link w:val="En-tte"/>
    <w:uiPriority w:val="99"/>
    <w:rsid w:val="002244B4"/>
    <w:rPr>
      <w:rFonts w:ascii="Calibri" w:eastAsia="Calibri" w:hAnsi="Calibri" w:cs="Times New Roman"/>
      <w:lang w:val="en-GB"/>
    </w:rPr>
  </w:style>
  <w:style w:type="paragraph" w:styleId="Pieddepage">
    <w:name w:val="footer"/>
    <w:basedOn w:val="Normal"/>
    <w:link w:val="PieddepageCar"/>
    <w:uiPriority w:val="99"/>
    <w:unhideWhenUsed/>
    <w:rsid w:val="002244B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244B4"/>
    <w:rPr>
      <w:rFonts w:ascii="Calibri" w:eastAsia="Calibri" w:hAnsi="Calibri" w:cs="Times New Roman"/>
      <w:lang w:val="en-GB"/>
    </w:rPr>
  </w:style>
  <w:style w:type="paragraph" w:styleId="Paragraphedeliste">
    <w:name w:val="List Paragraph"/>
    <w:basedOn w:val="Normal"/>
    <w:uiPriority w:val="34"/>
    <w:qFormat/>
    <w:rsid w:val="002E07ED"/>
    <w:pPr>
      <w:ind w:left="720"/>
      <w:contextualSpacing/>
    </w:pPr>
  </w:style>
  <w:style w:type="character" w:styleId="Lienhypertexte">
    <w:name w:val="Hyperlink"/>
    <w:basedOn w:val="Policepardfaut"/>
    <w:uiPriority w:val="99"/>
    <w:unhideWhenUsed/>
    <w:rsid w:val="00601FDF"/>
    <w:rPr>
      <w:color w:val="0563C1" w:themeColor="hyperlink"/>
      <w:u w:val="single"/>
    </w:rPr>
  </w:style>
  <w:style w:type="character" w:styleId="Mentionnonrsolue">
    <w:name w:val="Unresolved Mention"/>
    <w:basedOn w:val="Policepardfaut"/>
    <w:uiPriority w:val="99"/>
    <w:semiHidden/>
    <w:unhideWhenUsed/>
    <w:rsid w:val="00601F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ocialsecurity.belgium.be/fr/liens-bel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Gratia Marianne</dc:creator>
  <cp:keywords/>
  <dc:description/>
  <cp:lastModifiedBy>Audrey Pirenne (FOD Werkgelegenheid - SPF Emploi)</cp:lastModifiedBy>
  <cp:revision>2</cp:revision>
  <cp:lastPrinted>2019-09-03T09:06:00Z</cp:lastPrinted>
  <dcterms:created xsi:type="dcterms:W3CDTF">2019-09-12T13:27:00Z</dcterms:created>
  <dcterms:modified xsi:type="dcterms:W3CDTF">2019-09-12T13:27:00Z</dcterms:modified>
</cp:coreProperties>
</file>