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CC3" w:rsidRPr="006D69FF" w:rsidRDefault="00DA0CC3" w:rsidP="006D69FF">
      <w:pPr>
        <w:spacing w:line="280" w:lineRule="exact"/>
        <w:jc w:val="center"/>
        <w:rPr>
          <w:rFonts w:cs="Arial"/>
          <w:bCs/>
          <w:lang w:val="nl-BE"/>
        </w:rPr>
      </w:pPr>
      <w:bookmarkStart w:id="0" w:name="_GoBack"/>
      <w:bookmarkEnd w:id="0"/>
    </w:p>
    <w:p w:rsidR="00DA0CC3" w:rsidRDefault="00DA0CC3" w:rsidP="006867BE">
      <w:pPr>
        <w:spacing w:before="4080"/>
        <w:jc w:val="right"/>
        <w:rPr>
          <w:rFonts w:cs="Arial"/>
          <w:b/>
          <w:bCs/>
          <w:sz w:val="52"/>
          <w:szCs w:val="52"/>
          <w:lang w:val="fr-FR"/>
        </w:rPr>
      </w:pPr>
      <w:r w:rsidRPr="008E2515">
        <w:rPr>
          <w:rFonts w:cs="Arial"/>
          <w:b/>
          <w:bCs/>
          <w:sz w:val="52"/>
          <w:szCs w:val="52"/>
          <w:lang w:val="fr-FR"/>
        </w:rPr>
        <w:t>Outil</w:t>
      </w:r>
      <w:r w:rsidRPr="00190193">
        <w:rPr>
          <w:rFonts w:cs="Arial"/>
          <w:b/>
          <w:bCs/>
          <w:sz w:val="52"/>
          <w:szCs w:val="52"/>
          <w:lang w:val="fr-FR"/>
        </w:rPr>
        <w:t xml:space="preserve"> d’inspection</w:t>
      </w:r>
      <w:r w:rsidR="006D69FF">
        <w:rPr>
          <w:rFonts w:cs="Arial"/>
          <w:b/>
          <w:bCs/>
          <w:sz w:val="52"/>
          <w:szCs w:val="52"/>
          <w:lang w:val="fr-FR"/>
        </w:rPr>
        <w:br/>
      </w:r>
      <w:r w:rsidR="006D2DD8">
        <w:rPr>
          <w:rFonts w:cs="Arial"/>
          <w:b/>
          <w:bCs/>
          <w:sz w:val="52"/>
          <w:szCs w:val="52"/>
          <w:lang w:val="fr-FR"/>
        </w:rPr>
        <w:t>S</w:t>
      </w:r>
      <w:r w:rsidR="003B59B8">
        <w:rPr>
          <w:rFonts w:cs="Arial"/>
          <w:b/>
          <w:bCs/>
          <w:sz w:val="52"/>
          <w:szCs w:val="52"/>
          <w:lang w:val="fr-FR"/>
        </w:rPr>
        <w:t>tockage d</w:t>
      </w:r>
      <w:r w:rsidR="00384ECA">
        <w:rPr>
          <w:rFonts w:cs="Arial"/>
          <w:b/>
          <w:bCs/>
          <w:sz w:val="52"/>
          <w:szCs w:val="52"/>
          <w:lang w:val="fr-FR"/>
        </w:rPr>
        <w:t>’</w:t>
      </w:r>
      <w:r w:rsidR="003B59B8">
        <w:rPr>
          <w:rFonts w:cs="Arial"/>
          <w:b/>
          <w:bCs/>
          <w:sz w:val="52"/>
          <w:szCs w:val="52"/>
          <w:lang w:val="fr-FR"/>
        </w:rPr>
        <w:t>explosibl</w:t>
      </w:r>
      <w:r w:rsidR="00BE4D3E">
        <w:rPr>
          <w:rFonts w:cs="Arial"/>
          <w:b/>
          <w:bCs/>
          <w:sz w:val="52"/>
          <w:szCs w:val="52"/>
          <w:lang w:val="fr-FR"/>
        </w:rPr>
        <w:t>es</w:t>
      </w:r>
    </w:p>
    <w:p w:rsidR="00DA0CC3" w:rsidRDefault="00961728" w:rsidP="00387A78">
      <w:pPr>
        <w:spacing w:before="600" w:after="5280"/>
        <w:jc w:val="right"/>
        <w:rPr>
          <w:rFonts w:cs="Arial"/>
          <w:bCs/>
          <w:sz w:val="36"/>
          <w:szCs w:val="36"/>
          <w:lang w:val="fr-FR"/>
        </w:rPr>
      </w:pPr>
      <w:r>
        <w:rPr>
          <w:rFonts w:cs="Arial"/>
          <w:bCs/>
          <w:noProof/>
          <w:sz w:val="36"/>
          <w:szCs w:val="36"/>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14.8pt;margin-top:73.7pt;width:445.6pt;height:333.65pt;z-index:-8">
            <v:imagedata r:id="rId11" o:title="DSCN0364"/>
          </v:shape>
        </w:pict>
      </w:r>
      <w:r w:rsidR="000E5A5F">
        <w:rPr>
          <w:rFonts w:cs="Arial"/>
          <w:bCs/>
          <w:sz w:val="36"/>
          <w:szCs w:val="36"/>
          <w:lang w:val="fr-FR"/>
        </w:rPr>
        <w:t xml:space="preserve">Version de </w:t>
      </w:r>
      <w:r w:rsidR="00AB64A3">
        <w:rPr>
          <w:rFonts w:cs="Arial"/>
          <w:bCs/>
          <w:sz w:val="36"/>
          <w:szCs w:val="36"/>
          <w:lang w:val="fr-FR"/>
        </w:rPr>
        <w:t>discussion</w:t>
      </w:r>
      <w:r w:rsidR="000E5A5F">
        <w:rPr>
          <w:rFonts w:cs="Arial"/>
          <w:bCs/>
          <w:sz w:val="36"/>
          <w:szCs w:val="36"/>
          <w:lang w:val="fr-FR"/>
        </w:rPr>
        <w:t xml:space="preserve"> </w:t>
      </w:r>
      <w:r w:rsidR="00AB64A3">
        <w:rPr>
          <w:rFonts w:cs="Arial"/>
          <w:bCs/>
          <w:sz w:val="36"/>
          <w:szCs w:val="36"/>
          <w:lang w:val="fr-FR"/>
        </w:rPr>
        <w:t>–</w:t>
      </w:r>
      <w:r w:rsidR="000E5A5F">
        <w:rPr>
          <w:rFonts w:cs="Arial"/>
          <w:bCs/>
          <w:sz w:val="36"/>
          <w:szCs w:val="36"/>
          <w:lang w:val="fr-FR"/>
        </w:rPr>
        <w:t xml:space="preserve"> </w:t>
      </w:r>
      <w:r w:rsidR="00AB64A3">
        <w:rPr>
          <w:rFonts w:cs="Arial"/>
          <w:bCs/>
          <w:sz w:val="36"/>
          <w:szCs w:val="36"/>
          <w:lang w:val="fr-FR"/>
        </w:rPr>
        <w:t>Mars 2021</w:t>
      </w:r>
    </w:p>
    <w:tbl>
      <w:tblPr>
        <w:tblpPr w:leftFromText="141" w:rightFromText="141" w:vertAnchor="text" w:horzAnchor="margin" w:tblpY="544"/>
        <w:tblW w:w="9322" w:type="dxa"/>
        <w:shd w:val="clear" w:color="auto" w:fill="CCCCCC"/>
        <w:tblLook w:val="01E0" w:firstRow="1" w:lastRow="1" w:firstColumn="1" w:lastColumn="1" w:noHBand="0" w:noVBand="0"/>
      </w:tblPr>
      <w:tblGrid>
        <w:gridCol w:w="9322"/>
      </w:tblGrid>
      <w:tr w:rsidR="00387A78" w:rsidRPr="00C746DB" w:rsidTr="00C746DB">
        <w:tc>
          <w:tcPr>
            <w:tcW w:w="9322" w:type="dxa"/>
            <w:shd w:val="clear" w:color="auto" w:fill="CCCCCC"/>
          </w:tcPr>
          <w:p w:rsidR="00387A78" w:rsidRPr="00C746DB" w:rsidRDefault="00387A78" w:rsidP="00C746DB">
            <w:pPr>
              <w:spacing w:before="120" w:after="120" w:line="280" w:lineRule="exact"/>
              <w:jc w:val="right"/>
              <w:rPr>
                <w:rFonts w:cs="Arial"/>
                <w:bCs/>
                <w:sz w:val="32"/>
                <w:szCs w:val="32"/>
                <w:lang w:val="fr-FR"/>
              </w:rPr>
            </w:pPr>
            <w:r w:rsidRPr="00C746DB">
              <w:rPr>
                <w:b/>
                <w:color w:val="FFFFFF"/>
                <w:sz w:val="24"/>
                <w:szCs w:val="24"/>
                <w:lang w:val="fr-FR"/>
              </w:rPr>
              <w:t>Services belges d’inspection Seveso</w:t>
            </w:r>
          </w:p>
        </w:tc>
      </w:tr>
    </w:tbl>
    <w:p w:rsidR="006867BE" w:rsidRPr="00190193" w:rsidRDefault="006867BE" w:rsidP="006867BE">
      <w:pPr>
        <w:rPr>
          <w:lang w:val="fr-FR"/>
        </w:rPr>
      </w:pPr>
    </w:p>
    <w:p w:rsidR="00DA0CC3" w:rsidRPr="00AD326B" w:rsidRDefault="00DA0CC3" w:rsidP="006867BE">
      <w:pPr>
        <w:rPr>
          <w:sz w:val="32"/>
          <w:szCs w:val="32"/>
          <w:lang w:val="fr-FR"/>
        </w:rPr>
        <w:sectPr w:rsidR="00DA0CC3" w:rsidRPr="00AD326B" w:rsidSect="00907C2B">
          <w:headerReference w:type="even" r:id="rId12"/>
          <w:headerReference w:type="default" r:id="rId13"/>
          <w:footerReference w:type="even" r:id="rId14"/>
          <w:footerReference w:type="default" r:id="rId15"/>
          <w:pgSz w:w="11906" w:h="16838" w:code="9"/>
          <w:pgMar w:top="1134" w:right="1418" w:bottom="1134" w:left="1418" w:header="709" w:footer="709" w:gutter="0"/>
          <w:cols w:space="720"/>
          <w:titlePg/>
          <w:docGrid w:linePitch="360"/>
        </w:sectPr>
      </w:pPr>
    </w:p>
    <w:p w:rsidR="00DA0CC3" w:rsidRDefault="00DA0CC3" w:rsidP="007707AB">
      <w:pPr>
        <w:spacing w:before="7080"/>
        <w:rPr>
          <w:lang w:val="fr-FR"/>
        </w:rPr>
      </w:pPr>
    </w:p>
    <w:p w:rsidR="007707AB" w:rsidRPr="007707AB" w:rsidRDefault="007707AB" w:rsidP="007707AB">
      <w:pPr>
        <w:rPr>
          <w:lang w:val="nl-NL"/>
        </w:rPr>
      </w:pPr>
    </w:p>
    <w:p w:rsidR="007707AB" w:rsidRPr="007707AB" w:rsidRDefault="007707AB" w:rsidP="00B30BAA">
      <w:pPr>
        <w:pBdr>
          <w:top w:val="single" w:sz="4" w:space="1" w:color="auto"/>
          <w:left w:val="single" w:sz="4" w:space="4" w:color="auto"/>
          <w:bottom w:val="single" w:sz="4" w:space="5" w:color="auto"/>
          <w:right w:val="single" w:sz="4" w:space="4" w:color="auto"/>
        </w:pBdr>
        <w:rPr>
          <w:sz w:val="18"/>
          <w:szCs w:val="18"/>
          <w:lang w:val="nl-NL"/>
        </w:rPr>
      </w:pPr>
    </w:p>
    <w:p w:rsidR="007707A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 xml:space="preserve">Cette brochure est disponible gratuitement auprès de </w:t>
      </w:r>
      <w:r w:rsidR="00F60768" w:rsidRPr="000D1E8B">
        <w:rPr>
          <w:sz w:val="18"/>
          <w:szCs w:val="18"/>
          <w:lang w:val="fr-FR"/>
        </w:rPr>
        <w:t>la :</w:t>
      </w:r>
    </w:p>
    <w:p w:rsidR="007707AB" w:rsidRDefault="007707AB" w:rsidP="00B30BAA">
      <w:pPr>
        <w:pBdr>
          <w:top w:val="single" w:sz="4" w:space="1" w:color="auto"/>
          <w:left w:val="single" w:sz="4" w:space="4" w:color="auto"/>
          <w:bottom w:val="single" w:sz="4" w:space="5" w:color="auto"/>
          <w:right w:val="single" w:sz="4" w:space="4" w:color="auto"/>
        </w:pBdr>
        <w:jc w:val="left"/>
        <w:rPr>
          <w:sz w:val="18"/>
          <w:szCs w:val="18"/>
          <w:lang w:val="fr-FR"/>
        </w:rPr>
      </w:pPr>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Division du contrôle des risques chimiques</w:t>
      </w:r>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SPF Emploi, Travail et Concertation sociale</w:t>
      </w:r>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 xml:space="preserve">1, rue Ernest </w:t>
      </w:r>
      <w:proofErr w:type="spellStart"/>
      <w:r w:rsidRPr="000D1E8B">
        <w:rPr>
          <w:sz w:val="18"/>
          <w:szCs w:val="18"/>
          <w:lang w:val="fr-FR"/>
        </w:rPr>
        <w:t>Blerot</w:t>
      </w:r>
      <w:proofErr w:type="spellEnd"/>
    </w:p>
    <w:p w:rsidR="00DA0CC3"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1070 Bruxelles</w:t>
      </w:r>
    </w:p>
    <w:p w:rsidR="000D1E8B" w:rsidRPr="000D1E8B" w:rsidRDefault="000D1E8B" w:rsidP="00B30BAA">
      <w:pPr>
        <w:pBdr>
          <w:top w:val="single" w:sz="4" w:space="1" w:color="auto"/>
          <w:left w:val="single" w:sz="4" w:space="4" w:color="auto"/>
          <w:bottom w:val="single" w:sz="4" w:space="5" w:color="auto"/>
          <w:right w:val="single" w:sz="4" w:space="4" w:color="auto"/>
        </w:pBdr>
        <w:jc w:val="left"/>
        <w:rPr>
          <w:sz w:val="18"/>
          <w:szCs w:val="18"/>
          <w:lang w:val="fr-FR"/>
        </w:rPr>
      </w:pPr>
    </w:p>
    <w:p w:rsidR="00DA0CC3" w:rsidRPr="000D1E8B" w:rsidRDefault="00F60768"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Tel :</w:t>
      </w:r>
      <w:r w:rsidR="00DA0CC3" w:rsidRPr="000D1E8B">
        <w:rPr>
          <w:sz w:val="18"/>
          <w:szCs w:val="18"/>
          <w:lang w:val="fr-FR"/>
        </w:rPr>
        <w:t xml:space="preserve"> 02/233 45 12</w:t>
      </w:r>
    </w:p>
    <w:p w:rsidR="00DA0CC3" w:rsidRPr="000D1E8B" w:rsidRDefault="00F60768"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Fax :</w:t>
      </w:r>
      <w:r w:rsidR="00DA0CC3" w:rsidRPr="000D1E8B">
        <w:rPr>
          <w:sz w:val="18"/>
          <w:szCs w:val="18"/>
          <w:lang w:val="fr-FR"/>
        </w:rPr>
        <w:t xml:space="preserve"> 02/233 45 69</w:t>
      </w:r>
    </w:p>
    <w:p w:rsidR="00DA0CC3" w:rsidRPr="000D1E8B" w:rsidRDefault="00F60768"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E-mail :</w:t>
      </w:r>
      <w:r w:rsidR="00DA0CC3" w:rsidRPr="000D1E8B">
        <w:rPr>
          <w:sz w:val="18"/>
          <w:szCs w:val="18"/>
          <w:lang w:val="fr-FR"/>
        </w:rPr>
        <w:t xml:space="preserve"> </w:t>
      </w:r>
      <w:hyperlink r:id="rId16" w:history="1">
        <w:r w:rsidR="00DA0CC3" w:rsidRPr="000D1E8B">
          <w:rPr>
            <w:rStyle w:val="Hyperlink"/>
            <w:sz w:val="18"/>
            <w:szCs w:val="18"/>
            <w:lang w:val="fr-FR"/>
          </w:rPr>
          <w:t>CRC@emploi.belgique.be</w:t>
        </w:r>
      </w:hyperlink>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r w:rsidRPr="000D1E8B">
        <w:rPr>
          <w:sz w:val="18"/>
          <w:szCs w:val="18"/>
          <w:lang w:val="fr-FR"/>
        </w:rPr>
        <w:t xml:space="preserve">Cette brochure peut également être téléchargée sur </w:t>
      </w:r>
      <w:r w:rsidR="006D4722">
        <w:rPr>
          <w:sz w:val="18"/>
          <w:szCs w:val="18"/>
          <w:lang w:val="fr-FR"/>
        </w:rPr>
        <w:t xml:space="preserve">le site internet </w:t>
      </w:r>
      <w:r w:rsidR="00F60768">
        <w:rPr>
          <w:sz w:val="18"/>
          <w:szCs w:val="18"/>
          <w:lang w:val="fr-FR"/>
        </w:rPr>
        <w:t>suivant</w:t>
      </w:r>
      <w:r w:rsidR="00F60768" w:rsidRPr="000D1E8B">
        <w:rPr>
          <w:sz w:val="18"/>
          <w:szCs w:val="18"/>
          <w:lang w:val="fr-FR"/>
        </w:rPr>
        <w:t xml:space="preserve"> :</w:t>
      </w:r>
      <w:r w:rsidRPr="000D1E8B">
        <w:rPr>
          <w:sz w:val="18"/>
          <w:szCs w:val="18"/>
          <w:lang w:val="fr-FR"/>
        </w:rPr>
        <w:t xml:space="preserve"> </w:t>
      </w:r>
    </w:p>
    <w:p w:rsidR="00DA0CC3" w:rsidRPr="000D1E8B" w:rsidRDefault="00DA0CC3" w:rsidP="00B30BAA">
      <w:pPr>
        <w:pBdr>
          <w:top w:val="single" w:sz="4" w:space="1" w:color="auto"/>
          <w:left w:val="single" w:sz="4" w:space="4" w:color="auto"/>
          <w:bottom w:val="single" w:sz="4" w:space="5" w:color="auto"/>
          <w:right w:val="single" w:sz="4" w:space="4" w:color="auto"/>
        </w:pBdr>
        <w:jc w:val="left"/>
        <w:rPr>
          <w:sz w:val="18"/>
          <w:szCs w:val="18"/>
          <w:lang w:val="fr-FR"/>
        </w:rPr>
      </w:pPr>
      <w:hyperlink r:id="rId17" w:history="1">
        <w:r w:rsidRPr="000D1E8B">
          <w:rPr>
            <w:rStyle w:val="Hyperlink"/>
            <w:sz w:val="18"/>
            <w:szCs w:val="18"/>
            <w:lang w:val="fr-FR"/>
          </w:rPr>
          <w:t>www.emploi.belgique.be</w:t>
        </w:r>
      </w:hyperlink>
      <w:r w:rsidRPr="000D1E8B">
        <w:rPr>
          <w:sz w:val="18"/>
          <w:szCs w:val="18"/>
          <w:u w:val="single"/>
          <w:lang w:val="fr-FR"/>
        </w:rPr>
        <w:t xml:space="preserve">/drc </w:t>
      </w:r>
      <w:r w:rsidRPr="000D1E8B">
        <w:rPr>
          <w:sz w:val="18"/>
          <w:szCs w:val="18"/>
          <w:lang w:val="fr-FR"/>
        </w:rPr>
        <w:t xml:space="preserve"> </w:t>
      </w:r>
    </w:p>
    <w:p w:rsidR="00DA0CC3" w:rsidRDefault="00DA0CC3" w:rsidP="00B30BAA">
      <w:pPr>
        <w:pBdr>
          <w:top w:val="single" w:sz="4" w:space="1" w:color="auto"/>
          <w:left w:val="single" w:sz="4" w:space="4" w:color="auto"/>
          <w:bottom w:val="single" w:sz="4" w:space="5" w:color="auto"/>
          <w:right w:val="single" w:sz="4" w:space="4" w:color="auto"/>
        </w:pBdr>
        <w:jc w:val="left"/>
        <w:rPr>
          <w:sz w:val="18"/>
          <w:szCs w:val="18"/>
        </w:rPr>
      </w:pPr>
    </w:p>
    <w:p w:rsidR="008063A6" w:rsidRPr="000D1E8B" w:rsidRDefault="008063A6" w:rsidP="00B30BAA">
      <w:pPr>
        <w:pBdr>
          <w:top w:val="single" w:sz="4" w:space="1" w:color="auto"/>
          <w:left w:val="single" w:sz="4" w:space="4" w:color="auto"/>
          <w:bottom w:val="single" w:sz="4" w:space="5" w:color="auto"/>
          <w:right w:val="single" w:sz="4" w:space="4" w:color="auto"/>
        </w:pBdr>
        <w:jc w:val="left"/>
        <w:rPr>
          <w:sz w:val="18"/>
          <w:szCs w:val="18"/>
        </w:rPr>
      </w:pPr>
    </w:p>
    <w:p w:rsidR="000D1E8B" w:rsidRPr="000D1E8B" w:rsidRDefault="000D1E8B" w:rsidP="00B30BAA">
      <w:pPr>
        <w:pBdr>
          <w:top w:val="single" w:sz="4" w:space="1" w:color="auto"/>
          <w:left w:val="single" w:sz="4" w:space="4" w:color="auto"/>
          <w:bottom w:val="single" w:sz="4" w:space="5" w:color="auto"/>
          <w:right w:val="single" w:sz="4" w:space="4" w:color="auto"/>
        </w:pBdr>
        <w:jc w:val="left"/>
        <w:rPr>
          <w:rFonts w:cs="Dax-Regular"/>
          <w:sz w:val="18"/>
          <w:szCs w:val="18"/>
          <w:lang w:val="fr-FR"/>
        </w:rPr>
      </w:pPr>
      <w:r w:rsidRPr="000D1E8B">
        <w:rPr>
          <w:rFonts w:cs="Dax-Regular"/>
          <w:sz w:val="18"/>
          <w:szCs w:val="18"/>
          <w:lang w:val="fr-FR"/>
        </w:rPr>
        <w:t xml:space="preserve">Editeur </w:t>
      </w:r>
      <w:r w:rsidR="00F60768" w:rsidRPr="000D1E8B">
        <w:rPr>
          <w:rFonts w:cs="Dax-Regular"/>
          <w:sz w:val="18"/>
          <w:szCs w:val="18"/>
          <w:lang w:val="fr-FR"/>
        </w:rPr>
        <w:t>responsable :</w:t>
      </w:r>
    </w:p>
    <w:p w:rsidR="000D1E8B" w:rsidRPr="000D1E8B" w:rsidRDefault="000D1E8B" w:rsidP="00B30BAA">
      <w:pPr>
        <w:pBdr>
          <w:top w:val="single" w:sz="4" w:space="1" w:color="auto"/>
          <w:left w:val="single" w:sz="4" w:space="4" w:color="auto"/>
          <w:bottom w:val="single" w:sz="4" w:space="5" w:color="auto"/>
          <w:right w:val="single" w:sz="4" w:space="4" w:color="auto"/>
        </w:pBdr>
        <w:jc w:val="left"/>
        <w:rPr>
          <w:rFonts w:cs="Dax-Regular"/>
          <w:sz w:val="18"/>
          <w:szCs w:val="18"/>
          <w:lang w:val="fr-FR" w:eastAsia="nl-NL"/>
        </w:rPr>
      </w:pPr>
      <w:r w:rsidRPr="000D1E8B">
        <w:rPr>
          <w:rFonts w:cs="Dax-Regular"/>
          <w:sz w:val="18"/>
          <w:szCs w:val="18"/>
          <w:lang w:val="fr-FR"/>
        </w:rPr>
        <w:t>SPF Emploi, Travail et Concertation sociale</w:t>
      </w:r>
    </w:p>
    <w:p w:rsidR="000D1E8B" w:rsidRDefault="000D1E8B" w:rsidP="00B30BAA">
      <w:pPr>
        <w:pBdr>
          <w:top w:val="single" w:sz="4" w:space="1" w:color="auto"/>
          <w:left w:val="single" w:sz="4" w:space="4" w:color="auto"/>
          <w:bottom w:val="single" w:sz="4" w:space="5" w:color="auto"/>
          <w:right w:val="single" w:sz="4" w:space="4" w:color="auto"/>
        </w:pBdr>
        <w:jc w:val="left"/>
        <w:rPr>
          <w:sz w:val="18"/>
          <w:szCs w:val="18"/>
        </w:rPr>
      </w:pPr>
    </w:p>
    <w:p w:rsidR="006D4722" w:rsidRDefault="00F60768" w:rsidP="00B30BAA">
      <w:pPr>
        <w:pBdr>
          <w:top w:val="single" w:sz="4" w:space="1" w:color="auto"/>
          <w:left w:val="single" w:sz="4" w:space="4" w:color="auto"/>
          <w:bottom w:val="single" w:sz="4" w:space="5" w:color="auto"/>
          <w:right w:val="single" w:sz="4" w:space="4" w:color="auto"/>
        </w:pBdr>
        <w:jc w:val="left"/>
        <w:rPr>
          <w:rFonts w:cs="Dax-Regular"/>
          <w:sz w:val="18"/>
          <w:szCs w:val="18"/>
          <w:lang w:val="fr-FR" w:eastAsia="nl-NL"/>
        </w:rPr>
      </w:pPr>
      <w:r w:rsidRPr="000D1E8B">
        <w:rPr>
          <w:rFonts w:cs="Dax-Regular"/>
          <w:sz w:val="18"/>
          <w:szCs w:val="18"/>
          <w:lang w:val="fr-FR" w:eastAsia="nl-NL"/>
        </w:rPr>
        <w:t>Couverture :</w:t>
      </w:r>
      <w:r w:rsidR="00001EC2" w:rsidRPr="000D1E8B">
        <w:rPr>
          <w:rFonts w:cs="Dax-Regular"/>
          <w:sz w:val="18"/>
          <w:szCs w:val="18"/>
          <w:lang w:val="fr-FR" w:eastAsia="nl-NL"/>
        </w:rPr>
        <w:t xml:space="preserve"> </w:t>
      </w:r>
      <w:r w:rsidR="00001EC2">
        <w:rPr>
          <w:rFonts w:cs="Dax-Regular"/>
          <w:sz w:val="18"/>
          <w:szCs w:val="18"/>
          <w:lang w:val="fr-FR" w:eastAsia="nl-NL"/>
        </w:rPr>
        <w:t>Sylvie Peeters</w:t>
      </w:r>
    </w:p>
    <w:p w:rsidR="00001EC2" w:rsidRDefault="00F60768" w:rsidP="00B30BAA">
      <w:pPr>
        <w:pBdr>
          <w:top w:val="single" w:sz="4" w:space="1" w:color="auto"/>
          <w:left w:val="single" w:sz="4" w:space="4" w:color="auto"/>
          <w:bottom w:val="single" w:sz="4" w:space="5" w:color="auto"/>
          <w:right w:val="single" w:sz="4" w:space="4" w:color="auto"/>
        </w:pBdr>
        <w:jc w:val="left"/>
        <w:rPr>
          <w:rFonts w:cs="Dax-Regular"/>
          <w:sz w:val="18"/>
          <w:szCs w:val="18"/>
          <w:lang w:val="fr-FR" w:eastAsia="nl-NL"/>
        </w:rPr>
      </w:pPr>
      <w:r w:rsidRPr="000D1E8B">
        <w:rPr>
          <w:rFonts w:cs="Dax-Regular"/>
          <w:sz w:val="18"/>
          <w:szCs w:val="18"/>
          <w:lang w:val="fr-FR" w:eastAsia="nl-NL"/>
        </w:rPr>
        <w:t>Référence :</w:t>
      </w:r>
      <w:r w:rsidR="00001EC2" w:rsidRPr="000D1E8B">
        <w:rPr>
          <w:rFonts w:cs="Dax-Regular"/>
          <w:sz w:val="18"/>
          <w:szCs w:val="18"/>
          <w:lang w:val="fr-FR" w:eastAsia="nl-NL"/>
        </w:rPr>
        <w:t xml:space="preserve"> CRC/SIT/014</w:t>
      </w:r>
    </w:p>
    <w:p w:rsidR="00001EC2" w:rsidRDefault="00F60768" w:rsidP="00B30BAA">
      <w:pPr>
        <w:pBdr>
          <w:top w:val="single" w:sz="4" w:space="1" w:color="auto"/>
          <w:left w:val="single" w:sz="4" w:space="4" w:color="auto"/>
          <w:bottom w:val="single" w:sz="4" w:space="5" w:color="auto"/>
          <w:right w:val="single" w:sz="4" w:space="4" w:color="auto"/>
        </w:pBdr>
        <w:jc w:val="left"/>
        <w:rPr>
          <w:rFonts w:cs="Dax-Regular"/>
          <w:sz w:val="18"/>
          <w:szCs w:val="18"/>
          <w:lang w:val="fr-FR" w:eastAsia="nl-NL"/>
        </w:rPr>
      </w:pPr>
      <w:r w:rsidRPr="000D1E8B">
        <w:rPr>
          <w:rFonts w:cs="Dax-Regular"/>
          <w:sz w:val="18"/>
          <w:szCs w:val="18"/>
          <w:lang w:val="fr-FR" w:eastAsia="nl-NL"/>
        </w:rPr>
        <w:t>Version</w:t>
      </w:r>
      <w:r>
        <w:rPr>
          <w:rFonts w:cs="Dax-Regular"/>
          <w:sz w:val="18"/>
          <w:szCs w:val="18"/>
          <w:lang w:val="fr-FR" w:eastAsia="nl-NL"/>
        </w:rPr>
        <w:t xml:space="preserve"> :</w:t>
      </w:r>
      <w:r w:rsidR="00001EC2">
        <w:rPr>
          <w:rFonts w:cs="Dax-Regular"/>
          <w:sz w:val="18"/>
          <w:szCs w:val="18"/>
          <w:lang w:val="fr-FR" w:eastAsia="nl-NL"/>
        </w:rPr>
        <w:t xml:space="preserve"> </w:t>
      </w:r>
      <w:r w:rsidR="003B59B8">
        <w:rPr>
          <w:rFonts w:cs="Dax-Regular"/>
          <w:sz w:val="18"/>
          <w:szCs w:val="18"/>
          <w:lang w:val="fr-FR" w:eastAsia="nl-NL"/>
        </w:rPr>
        <w:t>2</w:t>
      </w:r>
    </w:p>
    <w:p w:rsidR="00001EC2" w:rsidRDefault="00001EC2" w:rsidP="00B30BAA">
      <w:pPr>
        <w:pBdr>
          <w:top w:val="single" w:sz="4" w:space="1" w:color="auto"/>
          <w:left w:val="single" w:sz="4" w:space="4" w:color="auto"/>
          <w:bottom w:val="single" w:sz="4" w:space="5" w:color="auto"/>
          <w:right w:val="single" w:sz="4" w:space="4" w:color="auto"/>
        </w:pBdr>
        <w:jc w:val="left"/>
        <w:rPr>
          <w:sz w:val="18"/>
          <w:szCs w:val="18"/>
        </w:rPr>
      </w:pPr>
    </w:p>
    <w:p w:rsidR="00001EC2" w:rsidRPr="000D1E8B" w:rsidRDefault="00001EC2" w:rsidP="00B30BAA">
      <w:pPr>
        <w:pBdr>
          <w:top w:val="single" w:sz="4" w:space="1" w:color="auto"/>
          <w:left w:val="single" w:sz="4" w:space="4" w:color="auto"/>
          <w:bottom w:val="single" w:sz="4" w:space="5" w:color="auto"/>
          <w:right w:val="single" w:sz="4" w:space="4" w:color="auto"/>
        </w:pBdr>
        <w:jc w:val="left"/>
        <w:rPr>
          <w:sz w:val="18"/>
          <w:szCs w:val="18"/>
        </w:rPr>
      </w:pPr>
      <w:r w:rsidRPr="002A0B7B">
        <w:rPr>
          <w:rFonts w:cs="Dax-Regular"/>
          <w:sz w:val="18"/>
          <w:szCs w:val="18"/>
          <w:lang w:val="fr-FR" w:eastAsia="nl-NL"/>
        </w:rPr>
        <w:t xml:space="preserve">Dépôt </w:t>
      </w:r>
      <w:r w:rsidR="00F60768" w:rsidRPr="002A0B7B">
        <w:rPr>
          <w:rFonts w:cs="Dax-Regular"/>
          <w:sz w:val="18"/>
          <w:szCs w:val="18"/>
          <w:lang w:val="fr-FR" w:eastAsia="nl-NL"/>
        </w:rPr>
        <w:t>légal :</w:t>
      </w:r>
      <w:r w:rsidRPr="002A0B7B">
        <w:rPr>
          <w:rFonts w:cs="Dax-Regular"/>
          <w:b/>
          <w:sz w:val="18"/>
          <w:szCs w:val="18"/>
          <w:lang w:val="fr-FR" w:eastAsia="nl-NL"/>
        </w:rPr>
        <w:t xml:space="preserve"> </w:t>
      </w:r>
      <w:r w:rsidR="00A8131E">
        <w:rPr>
          <w:rStyle w:val="Zwaar"/>
          <w:rFonts w:cs="Arial"/>
          <w:b w:val="0"/>
          <w:sz w:val="18"/>
          <w:szCs w:val="18"/>
          <w:lang w:val="fr-FR"/>
        </w:rPr>
        <w:t>XXXXXX</w:t>
      </w:r>
    </w:p>
    <w:p w:rsidR="007707AB" w:rsidRDefault="007707AB" w:rsidP="00B30BAA">
      <w:pPr>
        <w:pBdr>
          <w:top w:val="single" w:sz="4" w:space="1" w:color="auto"/>
          <w:left w:val="single" w:sz="4" w:space="4" w:color="auto"/>
          <w:bottom w:val="single" w:sz="4" w:space="5" w:color="auto"/>
          <w:right w:val="single" w:sz="4" w:space="4" w:color="auto"/>
        </w:pBdr>
        <w:jc w:val="left"/>
        <w:rPr>
          <w:sz w:val="18"/>
          <w:szCs w:val="18"/>
        </w:rPr>
      </w:pPr>
    </w:p>
    <w:p w:rsidR="00D47097" w:rsidRPr="00571359" w:rsidRDefault="00D47097" w:rsidP="00B30BAA">
      <w:pPr>
        <w:pBdr>
          <w:top w:val="single" w:sz="4" w:space="1" w:color="auto"/>
          <w:left w:val="single" w:sz="4" w:space="4" w:color="auto"/>
          <w:bottom w:val="single" w:sz="4" w:space="5" w:color="auto"/>
          <w:right w:val="single" w:sz="4" w:space="4" w:color="auto"/>
        </w:pBdr>
        <w:jc w:val="left"/>
        <w:rPr>
          <w:sz w:val="18"/>
          <w:szCs w:val="18"/>
        </w:rPr>
      </w:pPr>
    </w:p>
    <w:p w:rsidR="007707AB" w:rsidRPr="00571359" w:rsidRDefault="00DA0CC3" w:rsidP="007707AB">
      <w:pPr>
        <w:spacing w:before="7080"/>
      </w:pPr>
      <w:r w:rsidRPr="00571359">
        <w:rPr>
          <w:b/>
        </w:rPr>
        <w:br w:type="column"/>
      </w:r>
    </w:p>
    <w:p w:rsidR="007707AB" w:rsidRPr="00571359" w:rsidRDefault="007707AB" w:rsidP="007707AB"/>
    <w:p w:rsidR="007707AB" w:rsidRPr="00571359" w:rsidRDefault="007707AB" w:rsidP="007707AB">
      <w:pPr>
        <w:pBdr>
          <w:top w:val="single" w:sz="4" w:space="1" w:color="auto"/>
          <w:left w:val="single" w:sz="4" w:space="4" w:color="auto"/>
          <w:bottom w:val="single" w:sz="4" w:space="5" w:color="auto"/>
          <w:right w:val="single" w:sz="4" w:space="4" w:color="auto"/>
        </w:pBdr>
        <w:autoSpaceDE w:val="0"/>
        <w:autoSpaceDN w:val="0"/>
        <w:adjustRightInd w:val="0"/>
        <w:rPr>
          <w:rFonts w:cs="Dax-Regular"/>
          <w:sz w:val="18"/>
          <w:szCs w:val="18"/>
          <w:lang w:eastAsia="nl-NL"/>
        </w:rPr>
      </w:pPr>
    </w:p>
    <w:p w:rsidR="00DA0CC3" w:rsidRPr="000D1E8B" w:rsidRDefault="00DA0CC3"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eastAsia="nl-NL"/>
        </w:rPr>
      </w:pPr>
      <w:r w:rsidRPr="000D1E8B">
        <w:rPr>
          <w:rFonts w:cs="Dax-Regular"/>
          <w:sz w:val="18"/>
          <w:szCs w:val="18"/>
          <w:lang w:val="fr-FR" w:eastAsia="nl-NL"/>
        </w:rPr>
        <w:t xml:space="preserve">La rédaction de cette brochure a été achevée le </w:t>
      </w:r>
      <w:r w:rsidR="00AB64A3">
        <w:rPr>
          <w:rFonts w:cs="Dax-Regular"/>
          <w:sz w:val="18"/>
          <w:szCs w:val="18"/>
          <w:lang w:val="fr-FR" w:eastAsia="nl-NL"/>
        </w:rPr>
        <w:t>XXXXX</w:t>
      </w:r>
      <w:r w:rsidR="00F52243">
        <w:rPr>
          <w:rFonts w:cs="Dax-Regular"/>
          <w:sz w:val="18"/>
          <w:szCs w:val="18"/>
          <w:lang w:val="fr-FR" w:eastAsia="nl-NL"/>
        </w:rPr>
        <w:br/>
      </w:r>
    </w:p>
    <w:p w:rsidR="006D2DD8" w:rsidRPr="000D1E8B" w:rsidRDefault="006D2DD8"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rPr>
      </w:pPr>
      <w:r w:rsidRPr="000D1E8B">
        <w:rPr>
          <w:rFonts w:cs="Dax-Regular"/>
          <w:sz w:val="18"/>
          <w:szCs w:val="18"/>
          <w:lang w:val="fr-FR"/>
        </w:rPr>
        <w:t xml:space="preserve">Cette brochure est une publication commune des services d’inspection </w:t>
      </w:r>
      <w:r w:rsidR="00F60768" w:rsidRPr="000D1E8B">
        <w:rPr>
          <w:rFonts w:cs="Dax-Regular"/>
          <w:sz w:val="18"/>
          <w:szCs w:val="18"/>
          <w:lang w:val="fr-FR"/>
        </w:rPr>
        <w:t>suivants :</w:t>
      </w:r>
    </w:p>
    <w:p w:rsidR="006D2DD8" w:rsidRPr="000D1E8B" w:rsidRDefault="006D2DD8"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rPr>
      </w:pPr>
    </w:p>
    <w:p w:rsidR="006D2DD8" w:rsidRPr="008761D7" w:rsidRDefault="006D2DD8" w:rsidP="00F52243">
      <w:pPr>
        <w:numPr>
          <w:ilvl w:val="0"/>
          <w:numId w:val="13"/>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eastAsia="nl-NL"/>
        </w:rPr>
      </w:pPr>
      <w:r w:rsidRPr="008761D7">
        <w:rPr>
          <w:sz w:val="18"/>
          <w:szCs w:val="18"/>
        </w:rPr>
        <w:t xml:space="preserve">La </w:t>
      </w:r>
      <w:r w:rsidR="007C0B07" w:rsidRPr="00AB64A3">
        <w:rPr>
          <w:sz w:val="18"/>
          <w:szCs w:val="18"/>
        </w:rPr>
        <w:t>Cellule Risques d’Accidents Majeurs du SPW Agriculture, Ressources Naturelles et Environnement</w:t>
      </w:r>
    </w:p>
    <w:p w:rsidR="000D1E8B" w:rsidRPr="000D1E8B" w:rsidRDefault="00AB64A3" w:rsidP="00F52243">
      <w:pPr>
        <w:numPr>
          <w:ilvl w:val="0"/>
          <w:numId w:val="13"/>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eastAsia="nl-NL"/>
        </w:rPr>
      </w:pPr>
      <w:r>
        <w:rPr>
          <w:sz w:val="18"/>
          <w:szCs w:val="18"/>
          <w:lang w:val="fr-FR" w:eastAsia="nl-NL"/>
        </w:rPr>
        <w:t>L</w:t>
      </w:r>
      <w:r w:rsidR="000D1E8B" w:rsidRPr="000D1E8B">
        <w:rPr>
          <w:sz w:val="18"/>
          <w:szCs w:val="18"/>
          <w:lang w:val="fr-FR" w:eastAsia="nl-NL"/>
        </w:rPr>
        <w:t>a Direction Générale Qualité et Sécurité du SPF Economie, PME, Classes moyennes et Energie</w:t>
      </w:r>
    </w:p>
    <w:p w:rsidR="006D2DD8" w:rsidRPr="006E6C0F" w:rsidRDefault="006D2DD8" w:rsidP="00F52243">
      <w:pPr>
        <w:numPr>
          <w:ilvl w:val="0"/>
          <w:numId w:val="13"/>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eastAsia="nl-NL"/>
        </w:rPr>
      </w:pPr>
      <w:r w:rsidRPr="000D1E8B">
        <w:rPr>
          <w:sz w:val="18"/>
          <w:szCs w:val="18"/>
          <w:lang w:val="fr-FR"/>
        </w:rPr>
        <w:t xml:space="preserve">La Division </w:t>
      </w:r>
      <w:r w:rsidR="00F52B88">
        <w:rPr>
          <w:sz w:val="18"/>
          <w:szCs w:val="18"/>
          <w:lang w:val="fr-FR"/>
        </w:rPr>
        <w:t xml:space="preserve">du contrôle </w:t>
      </w:r>
      <w:r w:rsidRPr="000D1E8B">
        <w:rPr>
          <w:sz w:val="18"/>
          <w:szCs w:val="18"/>
          <w:lang w:val="fr-FR"/>
        </w:rPr>
        <w:t>des Risques Chimiques du SPF Emploi, Travail et Concertation sociale</w:t>
      </w:r>
    </w:p>
    <w:p w:rsidR="006E6C0F" w:rsidRPr="006E6C0F" w:rsidRDefault="006E6C0F" w:rsidP="006E6C0F">
      <w:pPr>
        <w:numPr>
          <w:ilvl w:val="0"/>
          <w:numId w:val="13"/>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NL" w:eastAsia="nl-NL"/>
        </w:rPr>
      </w:pPr>
      <w:r w:rsidRPr="006E6C0F">
        <w:rPr>
          <w:rFonts w:cs="Dax-Regular"/>
          <w:sz w:val="18"/>
          <w:szCs w:val="18"/>
          <w:lang w:val="nl-BE" w:eastAsia="nl-NL"/>
        </w:rPr>
        <w:t xml:space="preserve">La </w:t>
      </w:r>
      <w:proofErr w:type="spellStart"/>
      <w:r w:rsidRPr="006E6C0F">
        <w:rPr>
          <w:rFonts w:cs="Dax-Regular"/>
          <w:sz w:val="18"/>
          <w:szCs w:val="18"/>
          <w:lang w:val="nl-BE" w:eastAsia="nl-NL"/>
        </w:rPr>
        <w:t>division</w:t>
      </w:r>
      <w:proofErr w:type="spellEnd"/>
      <w:r w:rsidRPr="006E6C0F">
        <w:rPr>
          <w:rFonts w:cs="Dax-Regular"/>
          <w:sz w:val="18"/>
          <w:szCs w:val="18"/>
          <w:lang w:val="nl-BE" w:eastAsia="nl-NL"/>
        </w:rPr>
        <w:t xml:space="preserve"> Handhaving van het Departement Omgeving van de Vlaamse Overheid, Toezicht </w:t>
      </w:r>
      <w:proofErr w:type="spellStart"/>
      <w:r w:rsidRPr="006E6C0F">
        <w:rPr>
          <w:rFonts w:cs="Dax-Regular"/>
          <w:sz w:val="18"/>
          <w:szCs w:val="18"/>
          <w:lang w:val="nl-BE" w:eastAsia="nl-NL"/>
        </w:rPr>
        <w:t>zwarerisicobedrijven</w:t>
      </w:r>
      <w:proofErr w:type="spellEnd"/>
    </w:p>
    <w:p w:rsidR="006D2DD8" w:rsidRPr="006E6C0F" w:rsidRDefault="006D2DD8"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NL" w:eastAsia="nl-NL"/>
        </w:rPr>
      </w:pPr>
    </w:p>
    <w:p w:rsidR="00DA0CC3" w:rsidRPr="00571359" w:rsidRDefault="00001EC2" w:rsidP="00B30BAA">
      <w:pPr>
        <w:pBdr>
          <w:top w:val="single" w:sz="4" w:space="1" w:color="auto"/>
          <w:left w:val="single" w:sz="4" w:space="4" w:color="auto"/>
          <w:bottom w:val="single" w:sz="4" w:space="5" w:color="auto"/>
          <w:right w:val="single" w:sz="4" w:space="4" w:color="auto"/>
        </w:pBdr>
        <w:autoSpaceDE w:val="0"/>
        <w:autoSpaceDN w:val="0"/>
        <w:adjustRightInd w:val="0"/>
        <w:jc w:val="left"/>
        <w:rPr>
          <w:sz w:val="18"/>
          <w:szCs w:val="18"/>
        </w:rPr>
      </w:pPr>
      <w:r>
        <w:rPr>
          <w:rFonts w:cs="Dax-Regular"/>
          <w:sz w:val="18"/>
          <w:szCs w:val="18"/>
          <w:lang w:val="fr-FR" w:eastAsia="nl-NL"/>
        </w:rPr>
        <w:t>Group</w:t>
      </w:r>
      <w:r w:rsidR="00396C38">
        <w:rPr>
          <w:rFonts w:cs="Dax-Regular"/>
          <w:sz w:val="18"/>
          <w:szCs w:val="18"/>
          <w:lang w:val="fr-FR" w:eastAsia="nl-NL"/>
        </w:rPr>
        <w:t>e</w:t>
      </w:r>
      <w:r>
        <w:rPr>
          <w:rFonts w:cs="Dax-Regular"/>
          <w:sz w:val="18"/>
          <w:szCs w:val="18"/>
          <w:lang w:val="fr-FR" w:eastAsia="nl-NL"/>
        </w:rPr>
        <w:t xml:space="preserve"> de </w:t>
      </w:r>
      <w:r w:rsidR="00F60768">
        <w:rPr>
          <w:rFonts w:cs="Dax-Regular"/>
          <w:sz w:val="18"/>
          <w:szCs w:val="18"/>
          <w:lang w:val="fr-FR" w:eastAsia="nl-NL"/>
        </w:rPr>
        <w:t>travail :</w:t>
      </w:r>
      <w:r>
        <w:rPr>
          <w:rFonts w:cs="Dax-Regular"/>
          <w:sz w:val="18"/>
          <w:szCs w:val="18"/>
          <w:lang w:val="fr-FR" w:eastAsia="nl-NL"/>
        </w:rPr>
        <w:t xml:space="preserve"> </w:t>
      </w:r>
      <w:r w:rsidR="003B59B8" w:rsidRPr="00571359">
        <w:rPr>
          <w:sz w:val="18"/>
          <w:szCs w:val="18"/>
        </w:rPr>
        <w:t xml:space="preserve">Michèle </w:t>
      </w:r>
      <w:proofErr w:type="spellStart"/>
      <w:r w:rsidR="003B59B8" w:rsidRPr="00571359">
        <w:rPr>
          <w:sz w:val="18"/>
          <w:szCs w:val="18"/>
        </w:rPr>
        <w:t>Musick</w:t>
      </w:r>
      <w:proofErr w:type="spellEnd"/>
      <w:r w:rsidR="003B59B8" w:rsidRPr="00571359">
        <w:rPr>
          <w:sz w:val="18"/>
          <w:szCs w:val="18"/>
        </w:rPr>
        <w:t>, Maria Nikolic</w:t>
      </w:r>
      <w:r w:rsidR="003B59B8">
        <w:rPr>
          <w:sz w:val="18"/>
          <w:szCs w:val="18"/>
        </w:rPr>
        <w:t xml:space="preserve">, </w:t>
      </w:r>
      <w:r w:rsidRPr="00571359">
        <w:rPr>
          <w:sz w:val="18"/>
          <w:szCs w:val="18"/>
        </w:rPr>
        <w:t>Isabelle Rase, Arnaud Vandenbroucke</w:t>
      </w:r>
    </w:p>
    <w:p w:rsidR="00001EC2" w:rsidRPr="000D1E8B" w:rsidRDefault="00001EC2"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fr-FR" w:eastAsia="nl-NL"/>
        </w:rPr>
      </w:pPr>
    </w:p>
    <w:p w:rsidR="00DA0CC3" w:rsidRPr="00A8131E" w:rsidRDefault="000D1E8B"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NL"/>
        </w:rPr>
      </w:pPr>
      <w:r w:rsidRPr="00A8131E">
        <w:rPr>
          <w:rFonts w:cs="Dax-Regular"/>
          <w:sz w:val="18"/>
          <w:szCs w:val="18"/>
          <w:lang w:val="nl-NL"/>
        </w:rPr>
        <w:t xml:space="preserve">Rédaction </w:t>
      </w:r>
      <w:proofErr w:type="gramStart"/>
      <w:r w:rsidRPr="00A8131E">
        <w:rPr>
          <w:rFonts w:cs="Dax-Regular"/>
          <w:sz w:val="18"/>
          <w:szCs w:val="18"/>
          <w:lang w:val="nl-NL"/>
        </w:rPr>
        <w:t>finale</w:t>
      </w:r>
      <w:r w:rsidR="00F60768" w:rsidRPr="00A8131E">
        <w:rPr>
          <w:rFonts w:cs="Dax-Regular"/>
          <w:sz w:val="18"/>
          <w:szCs w:val="18"/>
          <w:lang w:val="nl-NL"/>
        </w:rPr>
        <w:t xml:space="preserve"> </w:t>
      </w:r>
      <w:r w:rsidRPr="00A8131E">
        <w:rPr>
          <w:rFonts w:cs="Dax-Regular"/>
          <w:sz w:val="18"/>
          <w:szCs w:val="18"/>
          <w:lang w:val="nl-NL"/>
        </w:rPr>
        <w:t>:</w:t>
      </w:r>
      <w:proofErr w:type="gramEnd"/>
      <w:r w:rsidRPr="008761D7">
        <w:rPr>
          <w:rFonts w:cs="Dax-Regular"/>
          <w:sz w:val="18"/>
          <w:szCs w:val="18"/>
          <w:lang w:val="nl-NL"/>
        </w:rPr>
        <w:t xml:space="preserve"> </w:t>
      </w:r>
      <w:smartTag w:uri="urn:schemas-microsoft-com:office:smarttags" w:element="PersonName">
        <w:smartTagPr>
          <w:attr w:name="ProductID" w:val="Peter Vansina"/>
        </w:smartTagPr>
        <w:r w:rsidRPr="00A8131E">
          <w:rPr>
            <w:rFonts w:cs="Dax-Regular"/>
            <w:sz w:val="18"/>
            <w:szCs w:val="18"/>
            <w:lang w:val="nl-NL"/>
          </w:rPr>
          <w:t>Peter Vansina</w:t>
        </w:r>
      </w:smartTag>
    </w:p>
    <w:p w:rsidR="000D1E8B" w:rsidRPr="00A8131E" w:rsidRDefault="000D1E8B"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NL" w:eastAsia="nl-NL"/>
        </w:rPr>
      </w:pPr>
    </w:p>
    <w:p w:rsidR="00DA0CC3" w:rsidRPr="00C832E0" w:rsidRDefault="00001EC2" w:rsidP="00B30BAA">
      <w:pPr>
        <w:pBdr>
          <w:top w:val="single" w:sz="4" w:space="1" w:color="auto"/>
          <w:left w:val="single" w:sz="4" w:space="4" w:color="auto"/>
          <w:bottom w:val="single" w:sz="4" w:space="5" w:color="auto"/>
          <w:right w:val="single" w:sz="4" w:space="4" w:color="auto"/>
        </w:pBdr>
        <w:autoSpaceDE w:val="0"/>
        <w:autoSpaceDN w:val="0"/>
        <w:adjustRightInd w:val="0"/>
        <w:jc w:val="left"/>
        <w:rPr>
          <w:b/>
          <w:sz w:val="18"/>
          <w:szCs w:val="18"/>
          <w:lang w:val="nl-BE"/>
        </w:rPr>
      </w:pPr>
      <w:r w:rsidRPr="000D1E8B">
        <w:rPr>
          <w:sz w:val="18"/>
          <w:szCs w:val="18"/>
          <w:lang w:val="nl-NL"/>
        </w:rPr>
        <w:t>Deze brochure is ook beschikbaar in het Nederlands.</w:t>
      </w:r>
    </w:p>
    <w:p w:rsidR="00B30BAA" w:rsidRPr="00C832E0" w:rsidRDefault="00B30BAA" w:rsidP="007707AB">
      <w:pPr>
        <w:pBdr>
          <w:top w:val="single" w:sz="4" w:space="1" w:color="auto"/>
          <w:left w:val="single" w:sz="4" w:space="4" w:color="auto"/>
          <w:bottom w:val="single" w:sz="4" w:space="5" w:color="auto"/>
          <w:right w:val="single" w:sz="4" w:space="4" w:color="auto"/>
        </w:pBdr>
        <w:autoSpaceDE w:val="0"/>
        <w:autoSpaceDN w:val="0"/>
        <w:adjustRightInd w:val="0"/>
        <w:rPr>
          <w:sz w:val="18"/>
          <w:szCs w:val="18"/>
          <w:lang w:val="nl-BE"/>
        </w:rPr>
      </w:pPr>
    </w:p>
    <w:p w:rsidR="00DA0CC3" w:rsidRPr="00C832E0" w:rsidRDefault="00DA0CC3" w:rsidP="00DA0CC3">
      <w:pPr>
        <w:rPr>
          <w:b/>
          <w:lang w:val="nl-BE"/>
        </w:rPr>
      </w:pPr>
    </w:p>
    <w:p w:rsidR="00DA0CC3" w:rsidRPr="00C832E0" w:rsidRDefault="00DA0CC3" w:rsidP="00DA0CC3">
      <w:pPr>
        <w:rPr>
          <w:b/>
          <w:lang w:val="nl-BE"/>
        </w:rPr>
        <w:sectPr w:rsidR="00DA0CC3" w:rsidRPr="00C832E0" w:rsidSect="001B6DF5">
          <w:headerReference w:type="first" r:id="rId18"/>
          <w:footerReference w:type="first" r:id="rId19"/>
          <w:pgSz w:w="11906" w:h="16838" w:code="9"/>
          <w:pgMar w:top="1134" w:right="1226" w:bottom="1134" w:left="1418" w:header="709" w:footer="709" w:gutter="0"/>
          <w:cols w:num="2" w:space="626"/>
          <w:titlePg/>
          <w:docGrid w:linePitch="360"/>
        </w:sectPr>
      </w:pPr>
    </w:p>
    <w:p w:rsidR="00554A38" w:rsidRPr="00C832E0" w:rsidRDefault="00554A38" w:rsidP="00554A38">
      <w:pPr>
        <w:rPr>
          <w:lang w:val="nl-BE"/>
        </w:rPr>
      </w:pPr>
    </w:p>
    <w:p w:rsidR="00DA0CC3" w:rsidRPr="00F510C0" w:rsidRDefault="00DA0CC3" w:rsidP="00736396">
      <w:pPr>
        <w:spacing w:before="3600"/>
        <w:jc w:val="right"/>
        <w:rPr>
          <w:rFonts w:cs="Arial"/>
          <w:b/>
          <w:bCs/>
          <w:sz w:val="40"/>
          <w:szCs w:val="40"/>
          <w:lang w:val="fr-FR"/>
        </w:rPr>
      </w:pPr>
      <w:r w:rsidRPr="00F510C0">
        <w:rPr>
          <w:rFonts w:cs="Arial"/>
          <w:b/>
          <w:bCs/>
          <w:sz w:val="40"/>
          <w:szCs w:val="40"/>
          <w:lang w:val="fr-FR"/>
        </w:rPr>
        <w:t>Introduction</w:t>
      </w:r>
    </w:p>
    <w:p w:rsidR="00DA0CC3" w:rsidRDefault="00DA0CC3" w:rsidP="00DA0CC3">
      <w:pPr>
        <w:spacing w:line="280" w:lineRule="exact"/>
        <w:rPr>
          <w:lang w:val="fr-FR"/>
        </w:rPr>
      </w:pPr>
    </w:p>
    <w:p w:rsidR="00907C2B" w:rsidRDefault="00907C2B" w:rsidP="00907C2B"/>
    <w:p w:rsidR="00ED2F39" w:rsidRPr="00C63998" w:rsidRDefault="00ED2F39" w:rsidP="00907C2B"/>
    <w:p w:rsidR="00907C2B" w:rsidRPr="00C63998" w:rsidRDefault="00907C2B" w:rsidP="00907C2B">
      <w:r w:rsidRPr="00C63998">
        <w:t>La directive européenne “Seveso</w:t>
      </w:r>
      <w:r w:rsidR="009474FA">
        <w:t xml:space="preserve"> </w:t>
      </w:r>
      <w:r w:rsidRPr="00C63998">
        <w:t>II</w:t>
      </w:r>
      <w:r w:rsidR="003B59B8">
        <w:t>I</w:t>
      </w:r>
      <w:r w:rsidRPr="00C63998">
        <w:t>”</w:t>
      </w:r>
      <w:r w:rsidRPr="00C63998">
        <w:rPr>
          <w:vertAlign w:val="superscript"/>
        </w:rPr>
        <w:footnoteReference w:id="1"/>
      </w:r>
      <w:r w:rsidRPr="00C63998">
        <w:t xml:space="preserve"> vise la prévention des accidents majeurs impliquant des substances dangereuses, ainsi que la limitation de leurs conséquences éventuelles, aussi bien pour l’homme que pour l’environnement. L’objectif de cette directive est de garantir un niveau élevé de protection contre ce type d’accidents industriels dans toute l’Union Européenne.</w:t>
      </w:r>
    </w:p>
    <w:p w:rsidR="00907C2B" w:rsidRPr="00C63998" w:rsidRDefault="00907C2B" w:rsidP="00907C2B"/>
    <w:p w:rsidR="00907C2B" w:rsidRPr="00C63998" w:rsidRDefault="00907C2B" w:rsidP="00907C2B">
      <w:r w:rsidRPr="00C63998">
        <w:t xml:space="preserve">L’exécution de cette Directive dans notre pays est réglée </w:t>
      </w:r>
      <w:r w:rsidR="006C68FB">
        <w:t xml:space="preserve">principalement </w:t>
      </w:r>
      <w:r w:rsidRPr="00C63998">
        <w:t>par l’accord de coopération</w:t>
      </w:r>
      <w:r w:rsidRPr="00C63998">
        <w:rPr>
          <w:rStyle w:val="Voetnootmarkering"/>
        </w:rPr>
        <w:footnoteReference w:id="2"/>
      </w:r>
      <w:r w:rsidRPr="00C63998">
        <w:t xml:space="preserve"> entre l’Etat Fédéral et les Régions. Cet accord de coopération décrit aussi bien les obligations pour les</w:t>
      </w:r>
      <w:r w:rsidR="006C68FB">
        <w:t xml:space="preserve"> exploitants</w:t>
      </w:r>
      <w:r w:rsidRPr="00C63998">
        <w:t xml:space="preserve"> visés que les tâches, les compétences et la coopération mutuelle des différent</w:t>
      </w:r>
      <w:r w:rsidR="006C68FB">
        <w:t>s services publics</w:t>
      </w:r>
      <w:r w:rsidRPr="00C63998">
        <w:t xml:space="preserve"> qui sont associées à l’exécution de </w:t>
      </w:r>
      <w:r w:rsidR="008C4B6B">
        <w:t>celui-ci</w:t>
      </w:r>
      <w:r w:rsidRPr="00C63998">
        <w:t>.</w:t>
      </w:r>
    </w:p>
    <w:p w:rsidR="00907C2B" w:rsidRPr="00C63998" w:rsidRDefault="00907C2B" w:rsidP="00907C2B"/>
    <w:p w:rsidR="00907C2B" w:rsidRPr="00C63998" w:rsidRDefault="00907C2B" w:rsidP="00907C2B">
      <w:pPr>
        <w:autoSpaceDE w:val="0"/>
        <w:autoSpaceDN w:val="0"/>
        <w:adjustRightInd w:val="0"/>
      </w:pPr>
      <w:r w:rsidRPr="00C63998">
        <w:t>Cette publication est un outil d’inspection qui a été rédigé par les</w:t>
      </w:r>
      <w:r w:rsidR="006C68FB">
        <w:t xml:space="preserve"> services publics</w:t>
      </w:r>
      <w:r w:rsidRPr="00C63998">
        <w:t xml:space="preserve"> qui ont été chargés de la surveillance du respect des dispositions de cet accord. Ces services utilisent cet outil d’inspection dans le cadre de la mission d’inspection qui leur a été accordée dans l’accord de coopération. Cette mission d’inspection implique l’exécution d’enquêtes planifiées et systématiques des systèmes </w:t>
      </w:r>
      <w:r w:rsidR="006C68FB">
        <w:t xml:space="preserve">de nature </w:t>
      </w:r>
      <w:r w:rsidRPr="00C63998">
        <w:t>technique, organisation</w:t>
      </w:r>
      <w:r w:rsidR="006C68FB">
        <w:t>nelle</w:t>
      </w:r>
      <w:r w:rsidRPr="00C63998">
        <w:t xml:space="preserve"> et </w:t>
      </w:r>
      <w:r w:rsidR="006C68FB">
        <w:t xml:space="preserve">relatifs </w:t>
      </w:r>
      <w:r w:rsidR="00CE4940">
        <w:t>à</w:t>
      </w:r>
      <w:r w:rsidR="006C68FB">
        <w:t xml:space="preserve"> la</w:t>
      </w:r>
      <w:r w:rsidRPr="00C63998">
        <w:t xml:space="preserve"> gestion </w:t>
      </w:r>
      <w:r w:rsidR="006C68FB">
        <w:t xml:space="preserve">de l’entreprise et utilisés </w:t>
      </w:r>
      <w:r w:rsidR="00907AD3" w:rsidRPr="00C63998">
        <w:t>dans les</w:t>
      </w:r>
      <w:r w:rsidR="006C68FB">
        <w:t xml:space="preserve"> établissements</w:t>
      </w:r>
      <w:r w:rsidR="00907AD3" w:rsidRPr="00C63998">
        <w:t xml:space="preserve"> Seveso </w:t>
      </w:r>
      <w:r w:rsidRPr="00C63998">
        <w:t xml:space="preserve">pour examiner notamment </w:t>
      </w:r>
      <w:r w:rsidR="00301AE7" w:rsidRPr="00C63998">
        <w:t>si :</w:t>
      </w:r>
      <w:r w:rsidRPr="00C63998">
        <w:t xml:space="preserve"> </w:t>
      </w:r>
    </w:p>
    <w:p w:rsidR="00907C2B" w:rsidRPr="00C63998" w:rsidRDefault="00907C2B" w:rsidP="00907C2B">
      <w:pPr>
        <w:autoSpaceDE w:val="0"/>
        <w:autoSpaceDN w:val="0"/>
        <w:adjustRightInd w:val="0"/>
        <w:ind w:left="993" w:hanging="285"/>
        <w:rPr>
          <w:rFonts w:cs="TimesNewRoman"/>
        </w:rPr>
      </w:pPr>
      <w:r w:rsidRPr="00C63998">
        <w:rPr>
          <w:rFonts w:cs="TimesNewRoman"/>
        </w:rPr>
        <w:t>1° l’exploitant peut démontrer qu’il a pris des mesures appropriées</w:t>
      </w:r>
      <w:r w:rsidR="006C68FB" w:rsidRPr="006C68FB">
        <w:rPr>
          <w:rFonts w:cs="TimesNewRoman"/>
        </w:rPr>
        <w:t xml:space="preserve"> </w:t>
      </w:r>
      <w:r w:rsidR="006C68FB" w:rsidRPr="00C63998">
        <w:rPr>
          <w:rFonts w:cs="TimesNewRoman"/>
        </w:rPr>
        <w:t>pour prévenir des accidents majeurs</w:t>
      </w:r>
      <w:r w:rsidRPr="00C63998">
        <w:rPr>
          <w:rFonts w:cs="TimesNewRoman"/>
        </w:rPr>
        <w:t xml:space="preserve">, </w:t>
      </w:r>
      <w:r w:rsidR="006C68FB">
        <w:rPr>
          <w:rFonts w:cs="TimesNewRoman"/>
        </w:rPr>
        <w:t>au vu</w:t>
      </w:r>
      <w:r w:rsidRPr="00C63998">
        <w:rPr>
          <w:rFonts w:cs="TimesNewRoman"/>
        </w:rPr>
        <w:t xml:space="preserve"> des activités </w:t>
      </w:r>
      <w:r w:rsidR="006C68FB">
        <w:rPr>
          <w:rFonts w:cs="TimesNewRoman"/>
        </w:rPr>
        <w:t>de</w:t>
      </w:r>
      <w:r w:rsidRPr="00C63998">
        <w:rPr>
          <w:rFonts w:cs="TimesNewRoman"/>
        </w:rPr>
        <w:t xml:space="preserve"> l’établissemen</w:t>
      </w:r>
      <w:r w:rsidR="006C68FB">
        <w:rPr>
          <w:rFonts w:cs="TimesNewRoman"/>
        </w:rPr>
        <w:t>t ;</w:t>
      </w:r>
      <w:r w:rsidRPr="00C63998">
        <w:rPr>
          <w:rFonts w:cs="TimesNewRoman"/>
        </w:rPr>
        <w:t xml:space="preserve"> </w:t>
      </w:r>
    </w:p>
    <w:p w:rsidR="00907C2B" w:rsidRPr="00C63998" w:rsidRDefault="00907C2B" w:rsidP="00907C2B">
      <w:pPr>
        <w:autoSpaceDE w:val="0"/>
        <w:autoSpaceDN w:val="0"/>
        <w:adjustRightInd w:val="0"/>
        <w:ind w:left="993" w:hanging="285"/>
        <w:rPr>
          <w:rFonts w:cs="TimesNewRoman"/>
        </w:rPr>
      </w:pPr>
      <w:r w:rsidRPr="00C63998">
        <w:rPr>
          <w:rFonts w:cs="TimesNewRoman"/>
        </w:rPr>
        <w:t xml:space="preserve">2° l’exploitant peut démontrer qu’il a pris des mesures appropriées pour limiter les conséquences des accidents majeurs </w:t>
      </w:r>
      <w:r w:rsidR="003263BB">
        <w:rPr>
          <w:rFonts w:cs="TimesNewRoman"/>
        </w:rPr>
        <w:t>à l’intérieur et hors de l’établissement</w:t>
      </w:r>
      <w:r w:rsidRPr="00C63998">
        <w:rPr>
          <w:rFonts w:cs="TimesNewRoman"/>
        </w:rPr>
        <w:t>.</w:t>
      </w:r>
    </w:p>
    <w:p w:rsidR="00907C2B" w:rsidRPr="00C63998" w:rsidRDefault="00907C2B" w:rsidP="00907C2B"/>
    <w:p w:rsidR="00907C2B" w:rsidRPr="00C63998" w:rsidRDefault="00907C2B" w:rsidP="00907C2B">
      <w:r w:rsidRPr="00C63998">
        <w:t>L’exploitant d’un</w:t>
      </w:r>
      <w:r w:rsidR="006C68FB">
        <w:t xml:space="preserve"> établissement</w:t>
      </w:r>
      <w:r w:rsidRPr="00C63998">
        <w:t xml:space="preserve"> Seveso doit, en premier lieu, prendre toutes les mesures qui sont nécessaires pour prévenir les accidents majeurs avec des substances dangereuses et pour en limiter les possibles conséquences. La Directive elle-même ne contient pas de prescriptions détaillées sur ces « mesures nécessaires » ou sur la nature précise de celles-ci.</w:t>
      </w:r>
    </w:p>
    <w:p w:rsidR="00907C2B" w:rsidRPr="00C63998" w:rsidRDefault="00907C2B" w:rsidP="00907C2B"/>
    <w:p w:rsidR="00907C2B" w:rsidRPr="00C63998" w:rsidRDefault="00907C2B" w:rsidP="00907C2B">
      <w:r w:rsidRPr="00C63998">
        <w:t xml:space="preserve">L’exploitant doit développer une politique de prévention qui amène à un haut niveau de protection pour l’homme et l’environnement. Cette politique de prévention doit être mise en pratique </w:t>
      </w:r>
      <w:r w:rsidR="0009384A">
        <w:t>à l’aide d’un système de gestion de la sécurité. Les éléments et activités qui doivent être abordés dans ce système de gestion de la sécurité</w:t>
      </w:r>
      <w:r w:rsidR="0009384A" w:rsidRPr="00C63998">
        <w:t xml:space="preserve"> </w:t>
      </w:r>
      <w:r w:rsidRPr="00C63998">
        <w:t>sont énumérés</w:t>
      </w:r>
      <w:r w:rsidR="0009384A">
        <w:t xml:space="preserve"> à l’annexe 2</w:t>
      </w:r>
      <w:r w:rsidRPr="00C63998">
        <w:t xml:space="preserve"> d</w:t>
      </w:r>
      <w:r w:rsidR="0009384A">
        <w:t>e</w:t>
      </w:r>
      <w:r w:rsidRPr="00C63998">
        <w:t xml:space="preserve"> l’accord de coopération</w:t>
      </w:r>
      <w:r w:rsidR="0009384A">
        <w:t xml:space="preserve">. Ainsi, l’exploitant est tenu de rédiger et d’appliquer les procédures nécessaires pour l’organisation </w:t>
      </w:r>
      <w:r w:rsidR="00AF3353">
        <w:t>de</w:t>
      </w:r>
      <w:r w:rsidR="00AF3353" w:rsidRPr="00C63998">
        <w:t xml:space="preserve"> :</w:t>
      </w:r>
      <w:r w:rsidRPr="00C63998">
        <w:t xml:space="preserve"> </w:t>
      </w:r>
    </w:p>
    <w:p w:rsidR="00905346" w:rsidRPr="00C63998" w:rsidRDefault="00905346" w:rsidP="00571359">
      <w:pPr>
        <w:autoSpaceDE w:val="0"/>
        <w:autoSpaceDN w:val="0"/>
        <w:adjustRightInd w:val="0"/>
        <w:ind w:left="720"/>
        <w:jc w:val="left"/>
        <w:rPr>
          <w:rFonts w:cs="TimesNewRoman"/>
        </w:rPr>
      </w:pP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la</w:t>
      </w:r>
      <w:proofErr w:type="gramEnd"/>
      <w:r w:rsidRPr="007F2840">
        <w:rPr>
          <w:rFonts w:cs="TimesNewRoman"/>
        </w:rPr>
        <w:t xml:space="preserve"> détermination des tâches et responsabilités impliquées dans la gestion des risques d’accidents majeurs,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l’implication</w:t>
      </w:r>
      <w:proofErr w:type="gramEnd"/>
      <w:r w:rsidRPr="007F2840">
        <w:rPr>
          <w:rFonts w:cs="TimesNewRoman"/>
        </w:rPr>
        <w:t xml:space="preserve"> et la formation du personnel,</w:t>
      </w:r>
    </w:p>
    <w:p w:rsidR="00905346" w:rsidRPr="007F2840" w:rsidRDefault="00905346" w:rsidP="00F52243">
      <w:pPr>
        <w:pStyle w:val="Lijstalinea"/>
        <w:numPr>
          <w:ilvl w:val="0"/>
          <w:numId w:val="12"/>
        </w:numPr>
        <w:autoSpaceDE w:val="0"/>
        <w:autoSpaceDN w:val="0"/>
        <w:adjustRightInd w:val="0"/>
        <w:rPr>
          <w:rFonts w:cs="TimesNewRoman"/>
          <w:lang w:val="fr-BE"/>
        </w:rPr>
      </w:pPr>
      <w:proofErr w:type="gramStart"/>
      <w:r w:rsidRPr="007F2840">
        <w:rPr>
          <w:rFonts w:cs="TimesNewRoman"/>
          <w:lang w:val="fr-BE"/>
        </w:rPr>
        <w:t>le</w:t>
      </w:r>
      <w:proofErr w:type="gramEnd"/>
      <w:r w:rsidRPr="007F2840">
        <w:rPr>
          <w:rFonts w:cs="TimesNewRoman"/>
          <w:lang w:val="fr-BE"/>
        </w:rPr>
        <w:t xml:space="preserve"> travail avec des tiers,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l’identification</w:t>
      </w:r>
      <w:proofErr w:type="gramEnd"/>
      <w:r w:rsidRPr="007F2840">
        <w:rPr>
          <w:rFonts w:cs="TimesNewRoman"/>
        </w:rPr>
        <w:t xml:space="preserve"> et l’évaluation des dangers d’accidents majeurs,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la</w:t>
      </w:r>
      <w:proofErr w:type="gramEnd"/>
      <w:r w:rsidRPr="007F2840">
        <w:rPr>
          <w:rFonts w:cs="TimesNewRoman"/>
        </w:rPr>
        <w:t xml:space="preserve"> conception de nouvelles installations et la réalisation de modifications aux installations existantes,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le</w:t>
      </w:r>
      <w:proofErr w:type="gramEnd"/>
      <w:r w:rsidRPr="007F2840">
        <w:rPr>
          <w:rFonts w:cs="TimesNewRoman"/>
        </w:rPr>
        <w:t xml:space="preserve"> contrôle opérationnel, notamment:</w:t>
      </w:r>
    </w:p>
    <w:p w:rsidR="00905346" w:rsidRPr="007F2840" w:rsidRDefault="00905346" w:rsidP="00F52243">
      <w:pPr>
        <w:pStyle w:val="Lijstalinea"/>
        <w:numPr>
          <w:ilvl w:val="1"/>
          <w:numId w:val="16"/>
        </w:numPr>
        <w:autoSpaceDE w:val="0"/>
        <w:autoSpaceDN w:val="0"/>
        <w:adjustRightInd w:val="0"/>
        <w:rPr>
          <w:lang w:val="fr-BE"/>
        </w:rPr>
      </w:pPr>
      <w:proofErr w:type="gramStart"/>
      <w:r w:rsidRPr="007F2840">
        <w:rPr>
          <w:rFonts w:cs="TimesNewRoman"/>
          <w:lang w:val="fr-BE"/>
        </w:rPr>
        <w:t>la</w:t>
      </w:r>
      <w:proofErr w:type="gramEnd"/>
      <w:r w:rsidRPr="007F2840">
        <w:rPr>
          <w:rFonts w:cs="TimesNewRoman"/>
          <w:lang w:val="fr-BE"/>
        </w:rPr>
        <w:t xml:space="preserve"> sécurité opérationnelle en toutes circonstances, telles qu’en fonctionnement normal, au démarrage, lors d’arrêts temporaires et lors des entretiens,</w:t>
      </w:r>
    </w:p>
    <w:p w:rsidR="00905346" w:rsidRPr="007F2840" w:rsidRDefault="00905346" w:rsidP="00F52243">
      <w:pPr>
        <w:pStyle w:val="Lijstalinea"/>
        <w:numPr>
          <w:ilvl w:val="1"/>
          <w:numId w:val="16"/>
        </w:numPr>
        <w:autoSpaceDE w:val="0"/>
        <w:autoSpaceDN w:val="0"/>
        <w:adjustRightInd w:val="0"/>
        <w:rPr>
          <w:lang w:val="fr-BE"/>
        </w:rPr>
      </w:pPr>
      <w:proofErr w:type="gramStart"/>
      <w:r w:rsidRPr="007F2840">
        <w:rPr>
          <w:rFonts w:cs="TimesNewRoman"/>
          <w:lang w:val="fr-BE"/>
        </w:rPr>
        <w:t>la</w:t>
      </w:r>
      <w:proofErr w:type="gramEnd"/>
      <w:r w:rsidRPr="007F2840">
        <w:rPr>
          <w:rFonts w:cs="TimesNewRoman"/>
          <w:lang w:val="fr-BE"/>
        </w:rPr>
        <w:t xml:space="preserve"> gestion des alarmes,</w:t>
      </w:r>
    </w:p>
    <w:p w:rsidR="00905346" w:rsidRPr="007F2840" w:rsidRDefault="00905346" w:rsidP="00F52243">
      <w:pPr>
        <w:pStyle w:val="Lijstalinea"/>
        <w:numPr>
          <w:ilvl w:val="1"/>
          <w:numId w:val="16"/>
        </w:numPr>
        <w:autoSpaceDE w:val="0"/>
        <w:autoSpaceDN w:val="0"/>
        <w:adjustRightInd w:val="0"/>
        <w:rPr>
          <w:lang w:val="fr-BE"/>
        </w:rPr>
      </w:pPr>
      <w:proofErr w:type="gramStart"/>
      <w:r w:rsidRPr="007F2840">
        <w:rPr>
          <w:rFonts w:cs="TimesNewRoman"/>
          <w:lang w:val="fr-BE"/>
        </w:rPr>
        <w:t>l’assurance</w:t>
      </w:r>
      <w:proofErr w:type="gramEnd"/>
      <w:r w:rsidRPr="007F2840">
        <w:rPr>
          <w:rFonts w:cs="TimesNewRoman"/>
          <w:lang w:val="fr-BE"/>
        </w:rPr>
        <w:t xml:space="preserve"> de l’état et du fonctionnement correct des mesures pour la maîtrise des risques d’accidents majeurs (programmes d’inspection et d’entretien périodiques),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l’enquête</w:t>
      </w:r>
      <w:proofErr w:type="gramEnd"/>
      <w:r w:rsidRPr="007F2840">
        <w:rPr>
          <w:rFonts w:cs="TimesNewRoman"/>
        </w:rPr>
        <w:t xml:space="preserve"> d’accidents et incidents,</w:t>
      </w:r>
    </w:p>
    <w:p w:rsidR="00905346" w:rsidRPr="007F2840" w:rsidRDefault="00905346" w:rsidP="00F52243">
      <w:pPr>
        <w:numPr>
          <w:ilvl w:val="0"/>
          <w:numId w:val="12"/>
        </w:numPr>
        <w:autoSpaceDE w:val="0"/>
        <w:autoSpaceDN w:val="0"/>
        <w:adjustRightInd w:val="0"/>
        <w:jc w:val="left"/>
        <w:rPr>
          <w:rFonts w:cs="TimesNewRoman"/>
        </w:rPr>
      </w:pPr>
      <w:proofErr w:type="gramStart"/>
      <w:r w:rsidRPr="007F2840">
        <w:rPr>
          <w:rFonts w:cs="TimesNewRoman"/>
        </w:rPr>
        <w:t>l’audit</w:t>
      </w:r>
      <w:proofErr w:type="gramEnd"/>
      <w:r w:rsidRPr="007F2840">
        <w:rPr>
          <w:rFonts w:cs="TimesNewRoman"/>
        </w:rPr>
        <w:t xml:space="preserve"> et la révision de la politique de prévention et du système de gestion de la sécurité.</w:t>
      </w:r>
    </w:p>
    <w:p w:rsidR="00907C2B" w:rsidRPr="00C63998" w:rsidRDefault="00907C2B" w:rsidP="00907C2B">
      <w:pPr>
        <w:autoSpaceDE w:val="0"/>
        <w:autoSpaceDN w:val="0"/>
        <w:adjustRightInd w:val="0"/>
        <w:rPr>
          <w:rFonts w:cs="TimesNewRoman"/>
        </w:rPr>
      </w:pPr>
    </w:p>
    <w:p w:rsidR="00907C2B" w:rsidRDefault="00907C2B" w:rsidP="00907C2B">
      <w:pPr>
        <w:autoSpaceDE w:val="0"/>
        <w:autoSpaceDN w:val="0"/>
        <w:adjustRightInd w:val="0"/>
      </w:pPr>
    </w:p>
    <w:p w:rsidR="00905346" w:rsidRPr="007F2840" w:rsidRDefault="00905346" w:rsidP="00905346">
      <w:pPr>
        <w:autoSpaceDE w:val="0"/>
        <w:autoSpaceDN w:val="0"/>
        <w:adjustRightInd w:val="0"/>
      </w:pPr>
      <w:r w:rsidRPr="007F2840">
        <w:rPr>
          <w:rFonts w:cs="TimesNewRoman"/>
        </w:rPr>
        <w:t>La façon dont ces activités doivent concrètement être organisées et développées n’est pas spécifiée plus en détails dans la Directive. Les exploitants des établissements Seveso doivent remplir eux-mêmes concrètement ces obligations générales et doivent donc déterminer eux-mêmes quelles sont les mesures nécessaires à la fois de nature technique, de nature organisationnelle et celles relatives à la gestion de l’entreprise. L’accord de coopération demande aux exploitants de tenir compte pour ce faire des meilleures pratiques.</w:t>
      </w:r>
    </w:p>
    <w:p w:rsidR="00905346" w:rsidRPr="007F2840" w:rsidRDefault="00905346" w:rsidP="00905346">
      <w:pPr>
        <w:autoSpaceDE w:val="0"/>
        <w:autoSpaceDN w:val="0"/>
        <w:adjustRightInd w:val="0"/>
      </w:pPr>
    </w:p>
    <w:p w:rsidR="00905346" w:rsidRPr="007F2840" w:rsidRDefault="00905346" w:rsidP="00905346">
      <w:pPr>
        <w:autoSpaceDE w:val="0"/>
        <w:autoSpaceDN w:val="0"/>
        <w:adjustRightInd w:val="0"/>
        <w:rPr>
          <w:rFonts w:cs="TimesNewRoman"/>
        </w:rPr>
      </w:pPr>
      <w:r w:rsidRPr="007F2840">
        <w:t>Les services d’inspection ont pour tâche d’encourager le respect de l’accord de coopération par les exploitants et si nécessaire de l’imposer.</w:t>
      </w:r>
      <w:r>
        <w:t xml:space="preserve"> </w:t>
      </w:r>
      <w:r w:rsidRPr="007F2840">
        <w:t xml:space="preserve">Pour la réalisation de cette mission, il est nécessaire que les services d’inspection développent aussi de leur côté des critères d’évaluation plus concrets. </w:t>
      </w:r>
      <w:r w:rsidRPr="007F2840">
        <w:rPr>
          <w:rFonts w:cs="TimesNewRoman"/>
        </w:rPr>
        <w:t>Ces critères d’évaluation prennent la forme d’une série d’outils d’inspection tels que cette publication.</w:t>
      </w:r>
    </w:p>
    <w:p w:rsidR="00905346" w:rsidRPr="007F2840" w:rsidRDefault="00905346" w:rsidP="00905346">
      <w:pPr>
        <w:autoSpaceDE w:val="0"/>
        <w:autoSpaceDN w:val="0"/>
        <w:adjustRightInd w:val="0"/>
        <w:rPr>
          <w:rFonts w:ascii="TimesNewRoman" w:hAnsi="TimesNewRoman" w:cs="TimesNewRoman"/>
        </w:rPr>
      </w:pPr>
      <w:r w:rsidRPr="007F2840">
        <w:rPr>
          <w:rFonts w:ascii="TimesNewRoman" w:hAnsi="TimesNewRoman" w:cs="TimesNewRoman"/>
        </w:rPr>
        <w:t xml:space="preserve"> </w:t>
      </w:r>
    </w:p>
    <w:p w:rsidR="00905346" w:rsidRPr="007F2840" w:rsidRDefault="00905346" w:rsidP="00905346">
      <w:pPr>
        <w:autoSpaceDE w:val="0"/>
        <w:autoSpaceDN w:val="0"/>
        <w:adjustRightInd w:val="0"/>
      </w:pPr>
      <w:r w:rsidRPr="007F2840">
        <w:t xml:space="preserve">Lors du développement de leurs critères d’évaluation, les services d’inspection se concentrent en premier lieu sur les bonnes pratiques, telles que celles décrites dans de nombreuses publications. Ces bonnes pratiques, souvent établies par les organisations </w:t>
      </w:r>
      <w:r w:rsidR="007A2378">
        <w:t>internationales</w:t>
      </w:r>
      <w:r w:rsidR="007A2378" w:rsidRPr="007F2840">
        <w:t xml:space="preserve"> </w:t>
      </w:r>
      <w:r w:rsidR="007A2378">
        <w:t xml:space="preserve">et </w:t>
      </w:r>
      <w:r w:rsidRPr="007F2840">
        <w:t>industrielles, sont le résultat de l’expérience de plusieurs années en sécurité de procédé. Les outils d’inspection sont réalisés dans le cadre d’une politique publique transparente et sont accessibles librement à chacun. Les services d’inspection restent à disposition pour toutes remarques et suggestions quant au contenu de ces documents.</w:t>
      </w:r>
    </w:p>
    <w:p w:rsidR="00905346" w:rsidRPr="007F2840" w:rsidRDefault="00905346" w:rsidP="00905346">
      <w:pPr>
        <w:autoSpaceDE w:val="0"/>
        <w:autoSpaceDN w:val="0"/>
        <w:adjustRightInd w:val="0"/>
      </w:pPr>
    </w:p>
    <w:p w:rsidR="00905346" w:rsidRPr="007F2840" w:rsidRDefault="00905346" w:rsidP="00905346">
      <w:pPr>
        <w:autoSpaceDE w:val="0"/>
        <w:autoSpaceDN w:val="0"/>
        <w:adjustRightInd w:val="0"/>
      </w:pPr>
      <w:r w:rsidRPr="007F2840">
        <w:t>Les outils d’inspection ne sont pas une alternative à la règlementation. Les exploitants peuvent dévier des mesures qui sont décrites dans les outils d’inspection. Dans ce cas, ils doivent pouvoir démontrer que les mesures alternatives qu’ils ont prises permettent d’assurer le même niveau élevé de protection.</w:t>
      </w:r>
    </w:p>
    <w:p w:rsidR="00905346" w:rsidRPr="007F2840" w:rsidRDefault="00905346" w:rsidP="00905346">
      <w:pPr>
        <w:autoSpaceDE w:val="0"/>
        <w:autoSpaceDN w:val="0"/>
        <w:adjustRightInd w:val="0"/>
      </w:pPr>
    </w:p>
    <w:p w:rsidR="00905346" w:rsidRPr="007F2840" w:rsidRDefault="00905346" w:rsidP="00905346">
      <w:pPr>
        <w:autoSpaceDE w:val="0"/>
        <w:autoSpaceDN w:val="0"/>
        <w:adjustRightInd w:val="0"/>
      </w:pPr>
      <w:r w:rsidRPr="007F2840">
        <w:lastRenderedPageBreak/>
        <w:t>Les services d’inspection sont d’avis que les outils d’inspection qu’ils ont développés peuvent être d’une grande aide pour les établissements Seveso. En mettant en œuvre les mesures demandées dans ces outils d’inspection, les exploitants</w:t>
      </w:r>
      <w:r w:rsidRPr="007F2840" w:rsidDel="00C42AB6">
        <w:t xml:space="preserve"> </w:t>
      </w:r>
      <w:r w:rsidRPr="007F2840">
        <w:t>peuvent ainsi satisfaire en grande partie aux obligations générales de l’accord de coopération. On peut utiliser ces outils d’inspection comme point de départ pour le développement et l’amélioration de ses propres systèmes.</w:t>
      </w:r>
    </w:p>
    <w:p w:rsidR="00905346" w:rsidRPr="007F2840" w:rsidRDefault="00905346" w:rsidP="00905346">
      <w:pPr>
        <w:autoSpaceDE w:val="0"/>
        <w:autoSpaceDN w:val="0"/>
        <w:adjustRightInd w:val="0"/>
      </w:pPr>
      <w:r w:rsidRPr="007F2840">
        <w:t>Les outils d’inspection peuvent aussi aider les exploitants à démontrer que les mesures nécessaires ont été prises. Là où les mesures prescrites ont été implémentées, on peut en effet baser son argumentation sur les outils d’inspection concernés.</w:t>
      </w:r>
    </w:p>
    <w:p w:rsidR="00905346" w:rsidRPr="00C63998" w:rsidRDefault="00905346" w:rsidP="00907C2B">
      <w:pPr>
        <w:autoSpaceDE w:val="0"/>
        <w:autoSpaceDN w:val="0"/>
        <w:adjustRightInd w:val="0"/>
      </w:pPr>
    </w:p>
    <w:p w:rsidR="00DA0CC3" w:rsidRPr="00907C2B" w:rsidRDefault="00ED2F39" w:rsidP="00DA0CC3">
      <w:r>
        <w:rPr>
          <w:color w:val="000000"/>
        </w:rPr>
        <w:br w:type="page"/>
      </w:r>
    </w:p>
    <w:p w:rsidR="00AF3F3B" w:rsidRDefault="00AF3F3B" w:rsidP="00AF3F3B">
      <w:pPr>
        <w:spacing w:before="3600" w:after="120"/>
        <w:jc w:val="right"/>
        <w:rPr>
          <w:b/>
          <w:sz w:val="40"/>
          <w:szCs w:val="40"/>
          <w:lang w:val="fr-FR"/>
        </w:rPr>
      </w:pPr>
      <w:r>
        <w:rPr>
          <w:b/>
          <w:sz w:val="40"/>
          <w:szCs w:val="40"/>
          <w:lang w:val="fr-FR"/>
        </w:rPr>
        <w:t>Contenu</w:t>
      </w:r>
    </w:p>
    <w:p w:rsidR="00DA0CC3" w:rsidRPr="006319C9" w:rsidRDefault="00DA0CC3" w:rsidP="00DA0CC3"/>
    <w:p w:rsidR="008526B7" w:rsidRPr="0000377F" w:rsidRDefault="004E75F5">
      <w:pPr>
        <w:pStyle w:val="Inhopg1"/>
        <w:rPr>
          <w:rFonts w:ascii="Calibri" w:hAnsi="Calibri"/>
          <w:b w:val="0"/>
          <w:caps w:val="0"/>
          <w:noProof/>
          <w:sz w:val="22"/>
          <w:szCs w:val="22"/>
          <w:lang w:val="fr-BE" w:eastAsia="fr-BE"/>
        </w:rPr>
      </w:pPr>
      <w:r>
        <w:rPr>
          <w:bCs/>
          <w:szCs w:val="24"/>
          <w:lang w:val="fr-FR" w:eastAsia="fr-FR"/>
        </w:rPr>
        <w:fldChar w:fldCharType="begin"/>
      </w:r>
      <w:r>
        <w:rPr>
          <w:bCs/>
          <w:szCs w:val="24"/>
          <w:lang w:val="fr-FR" w:eastAsia="fr-FR"/>
        </w:rPr>
        <w:instrText xml:space="preserve"> TOC \o "1-2" \h \z \u </w:instrText>
      </w:r>
      <w:r>
        <w:rPr>
          <w:bCs/>
          <w:szCs w:val="24"/>
          <w:lang w:val="fr-FR" w:eastAsia="fr-FR"/>
        </w:rPr>
        <w:fldChar w:fldCharType="separate"/>
      </w:r>
      <w:hyperlink w:anchor="_Toc66895215" w:history="1">
        <w:r w:rsidR="008526B7" w:rsidRPr="00625BE1">
          <w:rPr>
            <w:rStyle w:val="Hyperlink"/>
            <w:noProof/>
          </w:rPr>
          <w:t>1 Commentaires</w:t>
        </w:r>
        <w:r w:rsidR="008526B7">
          <w:rPr>
            <w:noProof/>
            <w:webHidden/>
          </w:rPr>
          <w:tab/>
        </w:r>
        <w:r w:rsidR="008526B7">
          <w:rPr>
            <w:noProof/>
            <w:webHidden/>
          </w:rPr>
          <w:fldChar w:fldCharType="begin"/>
        </w:r>
        <w:r w:rsidR="008526B7">
          <w:rPr>
            <w:noProof/>
            <w:webHidden/>
          </w:rPr>
          <w:instrText xml:space="preserve"> PAGEREF _Toc66895215 \h </w:instrText>
        </w:r>
        <w:r w:rsidR="008526B7">
          <w:rPr>
            <w:noProof/>
            <w:webHidden/>
          </w:rPr>
        </w:r>
        <w:r w:rsidR="008526B7">
          <w:rPr>
            <w:noProof/>
            <w:webHidden/>
          </w:rPr>
          <w:fldChar w:fldCharType="separate"/>
        </w:r>
        <w:r w:rsidR="008526B7">
          <w:rPr>
            <w:noProof/>
            <w:webHidden/>
          </w:rPr>
          <w:t>8</w:t>
        </w:r>
        <w:r w:rsidR="008526B7">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16" w:history="1">
        <w:r w:rsidRPr="00625BE1">
          <w:rPr>
            <w:rStyle w:val="Hyperlink"/>
            <w:noProof/>
            <w:lang w:val="fr-BE"/>
          </w:rPr>
          <w:t>1.1</w:t>
        </w:r>
        <w:r w:rsidRPr="0000377F">
          <w:rPr>
            <w:rFonts w:ascii="Calibri" w:hAnsi="Calibri"/>
            <w:smallCaps w:val="0"/>
            <w:noProof/>
            <w:sz w:val="22"/>
            <w:szCs w:val="22"/>
            <w:lang w:val="fr-BE" w:eastAsia="fr-BE"/>
          </w:rPr>
          <w:tab/>
        </w:r>
        <w:r w:rsidRPr="00625BE1">
          <w:rPr>
            <w:rStyle w:val="Hyperlink"/>
            <w:noProof/>
          </w:rPr>
          <w:t>Champ d’application</w:t>
        </w:r>
        <w:r>
          <w:rPr>
            <w:noProof/>
            <w:webHidden/>
          </w:rPr>
          <w:tab/>
        </w:r>
        <w:r>
          <w:rPr>
            <w:noProof/>
            <w:webHidden/>
          </w:rPr>
          <w:fldChar w:fldCharType="begin"/>
        </w:r>
        <w:r>
          <w:rPr>
            <w:noProof/>
            <w:webHidden/>
          </w:rPr>
          <w:instrText xml:space="preserve"> PAGEREF _Toc66895216 \h </w:instrText>
        </w:r>
        <w:r>
          <w:rPr>
            <w:noProof/>
            <w:webHidden/>
          </w:rPr>
        </w:r>
        <w:r>
          <w:rPr>
            <w:noProof/>
            <w:webHidden/>
          </w:rPr>
          <w:fldChar w:fldCharType="separate"/>
        </w:r>
        <w:r>
          <w:rPr>
            <w:noProof/>
            <w:webHidden/>
          </w:rPr>
          <w:t>8</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17" w:history="1">
        <w:r w:rsidRPr="00625BE1">
          <w:rPr>
            <w:rStyle w:val="Hyperlink"/>
            <w:noProof/>
            <w:lang w:val="fr-BE"/>
          </w:rPr>
          <w:t>1.2</w:t>
        </w:r>
        <w:r w:rsidRPr="0000377F">
          <w:rPr>
            <w:rFonts w:ascii="Calibri" w:hAnsi="Calibri"/>
            <w:smallCaps w:val="0"/>
            <w:noProof/>
            <w:sz w:val="22"/>
            <w:szCs w:val="22"/>
            <w:lang w:val="fr-BE" w:eastAsia="fr-BE"/>
          </w:rPr>
          <w:tab/>
        </w:r>
        <w:r w:rsidRPr="00625BE1">
          <w:rPr>
            <w:rStyle w:val="Hyperlink"/>
            <w:noProof/>
          </w:rPr>
          <w:t>Application de l’outil d’inspection</w:t>
        </w:r>
        <w:r>
          <w:rPr>
            <w:noProof/>
            <w:webHidden/>
          </w:rPr>
          <w:tab/>
        </w:r>
        <w:r>
          <w:rPr>
            <w:noProof/>
            <w:webHidden/>
          </w:rPr>
          <w:fldChar w:fldCharType="begin"/>
        </w:r>
        <w:r>
          <w:rPr>
            <w:noProof/>
            <w:webHidden/>
          </w:rPr>
          <w:instrText xml:space="preserve"> PAGEREF _Toc66895217 \h </w:instrText>
        </w:r>
        <w:r>
          <w:rPr>
            <w:noProof/>
            <w:webHidden/>
          </w:rPr>
        </w:r>
        <w:r>
          <w:rPr>
            <w:noProof/>
            <w:webHidden/>
          </w:rPr>
          <w:fldChar w:fldCharType="separate"/>
        </w:r>
        <w:r>
          <w:rPr>
            <w:noProof/>
            <w:webHidden/>
          </w:rPr>
          <w:t>8</w:t>
        </w:r>
        <w:r>
          <w:rPr>
            <w:noProof/>
            <w:webHidden/>
          </w:rPr>
          <w:fldChar w:fldCharType="end"/>
        </w:r>
      </w:hyperlink>
    </w:p>
    <w:p w:rsidR="008526B7" w:rsidRPr="0000377F" w:rsidRDefault="008526B7">
      <w:pPr>
        <w:pStyle w:val="Inhopg1"/>
        <w:rPr>
          <w:rFonts w:ascii="Calibri" w:hAnsi="Calibri"/>
          <w:b w:val="0"/>
          <w:caps w:val="0"/>
          <w:noProof/>
          <w:sz w:val="22"/>
          <w:szCs w:val="22"/>
          <w:lang w:val="fr-BE" w:eastAsia="fr-BE"/>
        </w:rPr>
      </w:pPr>
      <w:hyperlink w:anchor="_Toc66895218" w:history="1">
        <w:r w:rsidRPr="00625BE1">
          <w:rPr>
            <w:rStyle w:val="Hyperlink"/>
            <w:noProof/>
            <w:lang w:eastAsia="fr-FR"/>
          </w:rPr>
          <w:t>2</w:t>
        </w:r>
        <w:r w:rsidRPr="00625BE1">
          <w:rPr>
            <w:rStyle w:val="Hyperlink"/>
            <w:noProof/>
          </w:rPr>
          <w:t xml:space="preserve"> Classement des  explosibles</w:t>
        </w:r>
        <w:r>
          <w:rPr>
            <w:noProof/>
            <w:webHidden/>
          </w:rPr>
          <w:tab/>
        </w:r>
        <w:r>
          <w:rPr>
            <w:noProof/>
            <w:webHidden/>
          </w:rPr>
          <w:fldChar w:fldCharType="begin"/>
        </w:r>
        <w:r>
          <w:rPr>
            <w:noProof/>
            <w:webHidden/>
          </w:rPr>
          <w:instrText xml:space="preserve"> PAGEREF _Toc66895218 \h </w:instrText>
        </w:r>
        <w:r>
          <w:rPr>
            <w:noProof/>
            <w:webHidden/>
          </w:rPr>
        </w:r>
        <w:r>
          <w:rPr>
            <w:noProof/>
            <w:webHidden/>
          </w:rPr>
          <w:fldChar w:fldCharType="separate"/>
        </w:r>
        <w:r>
          <w:rPr>
            <w:noProof/>
            <w:webHidden/>
          </w:rPr>
          <w:t>10</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19" w:history="1">
        <w:r w:rsidRPr="00625BE1">
          <w:rPr>
            <w:rStyle w:val="Hyperlink"/>
            <w:noProof/>
            <w:lang w:val="fr-BE"/>
          </w:rPr>
          <w:t>2.1</w:t>
        </w:r>
        <w:r w:rsidRPr="0000377F">
          <w:rPr>
            <w:rFonts w:ascii="Calibri" w:hAnsi="Calibri"/>
            <w:smallCaps w:val="0"/>
            <w:noProof/>
            <w:sz w:val="22"/>
            <w:szCs w:val="22"/>
            <w:lang w:val="fr-BE" w:eastAsia="fr-BE"/>
          </w:rPr>
          <w:tab/>
        </w:r>
        <w:r w:rsidRPr="00625BE1">
          <w:rPr>
            <w:rStyle w:val="Hyperlink"/>
            <w:noProof/>
          </w:rPr>
          <w:t>Classement belge</w:t>
        </w:r>
        <w:r>
          <w:rPr>
            <w:noProof/>
            <w:webHidden/>
          </w:rPr>
          <w:tab/>
        </w:r>
        <w:r>
          <w:rPr>
            <w:noProof/>
            <w:webHidden/>
          </w:rPr>
          <w:fldChar w:fldCharType="begin"/>
        </w:r>
        <w:r>
          <w:rPr>
            <w:noProof/>
            <w:webHidden/>
          </w:rPr>
          <w:instrText xml:space="preserve"> PAGEREF _Toc66895219 \h </w:instrText>
        </w:r>
        <w:r>
          <w:rPr>
            <w:noProof/>
            <w:webHidden/>
          </w:rPr>
        </w:r>
        <w:r>
          <w:rPr>
            <w:noProof/>
            <w:webHidden/>
          </w:rPr>
          <w:fldChar w:fldCharType="separate"/>
        </w:r>
        <w:r>
          <w:rPr>
            <w:noProof/>
            <w:webHidden/>
          </w:rPr>
          <w:t>10</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0" w:history="1">
        <w:r w:rsidRPr="00625BE1">
          <w:rPr>
            <w:rStyle w:val="Hyperlink"/>
            <w:noProof/>
            <w:lang w:val="fr-BE"/>
          </w:rPr>
          <w:t>2.2</w:t>
        </w:r>
        <w:r w:rsidRPr="0000377F">
          <w:rPr>
            <w:rFonts w:ascii="Calibri" w:hAnsi="Calibri"/>
            <w:smallCaps w:val="0"/>
            <w:noProof/>
            <w:sz w:val="22"/>
            <w:szCs w:val="22"/>
            <w:lang w:val="fr-BE" w:eastAsia="fr-BE"/>
          </w:rPr>
          <w:tab/>
        </w:r>
        <w:r w:rsidRPr="00625BE1">
          <w:rPr>
            <w:rStyle w:val="Hyperlink"/>
            <w:noProof/>
          </w:rPr>
          <w:t>Classement international au transport</w:t>
        </w:r>
        <w:r>
          <w:rPr>
            <w:noProof/>
            <w:webHidden/>
          </w:rPr>
          <w:tab/>
        </w:r>
        <w:r>
          <w:rPr>
            <w:noProof/>
            <w:webHidden/>
          </w:rPr>
          <w:fldChar w:fldCharType="begin"/>
        </w:r>
        <w:r>
          <w:rPr>
            <w:noProof/>
            <w:webHidden/>
          </w:rPr>
          <w:instrText xml:space="preserve"> PAGEREF _Toc66895220 \h </w:instrText>
        </w:r>
        <w:r>
          <w:rPr>
            <w:noProof/>
            <w:webHidden/>
          </w:rPr>
        </w:r>
        <w:r>
          <w:rPr>
            <w:noProof/>
            <w:webHidden/>
          </w:rPr>
          <w:fldChar w:fldCharType="separate"/>
        </w:r>
        <w:r>
          <w:rPr>
            <w:noProof/>
            <w:webHidden/>
          </w:rPr>
          <w:t>11</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1" w:history="1">
        <w:r w:rsidRPr="00625BE1">
          <w:rPr>
            <w:rStyle w:val="Hyperlink"/>
            <w:noProof/>
          </w:rPr>
          <w:t>2.3</w:t>
        </w:r>
        <w:r w:rsidRPr="0000377F">
          <w:rPr>
            <w:rFonts w:ascii="Calibri" w:hAnsi="Calibri"/>
            <w:smallCaps w:val="0"/>
            <w:noProof/>
            <w:sz w:val="22"/>
            <w:szCs w:val="22"/>
            <w:lang w:val="fr-BE" w:eastAsia="fr-BE"/>
          </w:rPr>
          <w:tab/>
        </w:r>
        <w:r w:rsidRPr="00625BE1">
          <w:rPr>
            <w:rStyle w:val="Hyperlink"/>
            <w:noProof/>
          </w:rPr>
          <w:t>Classement suivant CLP</w:t>
        </w:r>
        <w:r>
          <w:rPr>
            <w:noProof/>
            <w:webHidden/>
          </w:rPr>
          <w:tab/>
        </w:r>
        <w:r>
          <w:rPr>
            <w:noProof/>
            <w:webHidden/>
          </w:rPr>
          <w:fldChar w:fldCharType="begin"/>
        </w:r>
        <w:r>
          <w:rPr>
            <w:noProof/>
            <w:webHidden/>
          </w:rPr>
          <w:instrText xml:space="preserve"> PAGEREF _Toc66895221 \h </w:instrText>
        </w:r>
        <w:r>
          <w:rPr>
            <w:noProof/>
            <w:webHidden/>
          </w:rPr>
        </w:r>
        <w:r>
          <w:rPr>
            <w:noProof/>
            <w:webHidden/>
          </w:rPr>
          <w:fldChar w:fldCharType="separate"/>
        </w:r>
        <w:r>
          <w:rPr>
            <w:noProof/>
            <w:webHidden/>
          </w:rPr>
          <w:t>18</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2" w:history="1">
        <w:r w:rsidRPr="00625BE1">
          <w:rPr>
            <w:rStyle w:val="Hyperlink"/>
            <w:noProof/>
          </w:rPr>
          <w:t>2.4</w:t>
        </w:r>
        <w:r w:rsidRPr="0000377F">
          <w:rPr>
            <w:rFonts w:ascii="Calibri" w:hAnsi="Calibri"/>
            <w:smallCaps w:val="0"/>
            <w:noProof/>
            <w:sz w:val="22"/>
            <w:szCs w:val="22"/>
            <w:lang w:val="fr-BE" w:eastAsia="fr-BE"/>
          </w:rPr>
          <w:tab/>
        </w:r>
        <w:r w:rsidRPr="00625BE1">
          <w:rPr>
            <w:rStyle w:val="Hyperlink"/>
            <w:noProof/>
          </w:rPr>
          <w:t xml:space="preserve"> Classement suivant la directive Seveso III et l’accord de coopération</w:t>
        </w:r>
        <w:r>
          <w:rPr>
            <w:noProof/>
            <w:webHidden/>
          </w:rPr>
          <w:tab/>
        </w:r>
        <w:r>
          <w:rPr>
            <w:noProof/>
            <w:webHidden/>
          </w:rPr>
          <w:fldChar w:fldCharType="begin"/>
        </w:r>
        <w:r>
          <w:rPr>
            <w:noProof/>
            <w:webHidden/>
          </w:rPr>
          <w:instrText xml:space="preserve"> PAGEREF _Toc66895222 \h </w:instrText>
        </w:r>
        <w:r>
          <w:rPr>
            <w:noProof/>
            <w:webHidden/>
          </w:rPr>
        </w:r>
        <w:r>
          <w:rPr>
            <w:noProof/>
            <w:webHidden/>
          </w:rPr>
          <w:fldChar w:fldCharType="separate"/>
        </w:r>
        <w:r>
          <w:rPr>
            <w:noProof/>
            <w:webHidden/>
          </w:rPr>
          <w:t>22</w:t>
        </w:r>
        <w:r>
          <w:rPr>
            <w:noProof/>
            <w:webHidden/>
          </w:rPr>
          <w:fldChar w:fldCharType="end"/>
        </w:r>
      </w:hyperlink>
    </w:p>
    <w:p w:rsidR="008526B7" w:rsidRPr="0000377F" w:rsidRDefault="008526B7">
      <w:pPr>
        <w:pStyle w:val="Inhopg1"/>
        <w:rPr>
          <w:rFonts w:ascii="Calibri" w:hAnsi="Calibri"/>
          <w:b w:val="0"/>
          <w:caps w:val="0"/>
          <w:noProof/>
          <w:sz w:val="22"/>
          <w:szCs w:val="22"/>
          <w:lang w:val="fr-BE" w:eastAsia="fr-BE"/>
        </w:rPr>
      </w:pPr>
      <w:hyperlink w:anchor="_Toc66895223" w:history="1">
        <w:r w:rsidRPr="00625BE1">
          <w:rPr>
            <w:rStyle w:val="Hyperlink"/>
            <w:noProof/>
          </w:rPr>
          <w:t>3</w:t>
        </w:r>
        <w:r w:rsidRPr="00625BE1">
          <w:rPr>
            <w:rStyle w:val="Hyperlink"/>
            <w:bCs/>
            <w:i/>
            <w:iCs/>
            <w:noProof/>
          </w:rPr>
          <w:t xml:space="preserve"> Mise sur le marché des explosifs à usage civil et des articles pyrotechniques  </w:t>
        </w:r>
        <w:r>
          <w:rPr>
            <w:noProof/>
            <w:webHidden/>
          </w:rPr>
          <w:tab/>
        </w:r>
        <w:r>
          <w:rPr>
            <w:noProof/>
            <w:webHidden/>
          </w:rPr>
          <w:fldChar w:fldCharType="begin"/>
        </w:r>
        <w:r>
          <w:rPr>
            <w:noProof/>
            <w:webHidden/>
          </w:rPr>
          <w:instrText xml:space="preserve"> PAGEREF _Toc66895223 \h </w:instrText>
        </w:r>
        <w:r>
          <w:rPr>
            <w:noProof/>
            <w:webHidden/>
          </w:rPr>
        </w:r>
        <w:r>
          <w:rPr>
            <w:noProof/>
            <w:webHidden/>
          </w:rPr>
          <w:fldChar w:fldCharType="separate"/>
        </w:r>
        <w:r>
          <w:rPr>
            <w:noProof/>
            <w:webHidden/>
          </w:rPr>
          <w:t>24</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4" w:history="1">
        <w:r w:rsidRPr="00625BE1">
          <w:rPr>
            <w:rStyle w:val="Hyperlink"/>
            <w:noProof/>
          </w:rPr>
          <w:t>3.1</w:t>
        </w:r>
        <w:r w:rsidRPr="0000377F">
          <w:rPr>
            <w:rFonts w:ascii="Calibri" w:hAnsi="Calibri"/>
            <w:smallCaps w:val="0"/>
            <w:noProof/>
            <w:sz w:val="22"/>
            <w:szCs w:val="22"/>
            <w:lang w:val="fr-BE" w:eastAsia="fr-BE"/>
          </w:rPr>
          <w:tab/>
        </w:r>
        <w:r w:rsidRPr="00625BE1">
          <w:rPr>
            <w:rStyle w:val="Hyperlink"/>
            <w:noProof/>
          </w:rPr>
          <w:t>Mise sur le marché des explosifs à usage civil</w:t>
        </w:r>
        <w:r>
          <w:rPr>
            <w:noProof/>
            <w:webHidden/>
          </w:rPr>
          <w:tab/>
        </w:r>
        <w:r>
          <w:rPr>
            <w:noProof/>
            <w:webHidden/>
          </w:rPr>
          <w:fldChar w:fldCharType="begin"/>
        </w:r>
        <w:r>
          <w:rPr>
            <w:noProof/>
            <w:webHidden/>
          </w:rPr>
          <w:instrText xml:space="preserve"> PAGEREF _Toc66895224 \h </w:instrText>
        </w:r>
        <w:r>
          <w:rPr>
            <w:noProof/>
            <w:webHidden/>
          </w:rPr>
        </w:r>
        <w:r>
          <w:rPr>
            <w:noProof/>
            <w:webHidden/>
          </w:rPr>
          <w:fldChar w:fldCharType="separate"/>
        </w:r>
        <w:r>
          <w:rPr>
            <w:noProof/>
            <w:webHidden/>
          </w:rPr>
          <w:t>24</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5" w:history="1">
        <w:r w:rsidRPr="00625BE1">
          <w:rPr>
            <w:rStyle w:val="Hyperlink"/>
            <w:noProof/>
          </w:rPr>
          <w:t>3.2</w:t>
        </w:r>
        <w:r w:rsidRPr="0000377F">
          <w:rPr>
            <w:rFonts w:ascii="Calibri" w:hAnsi="Calibri"/>
            <w:smallCaps w:val="0"/>
            <w:noProof/>
            <w:sz w:val="22"/>
            <w:szCs w:val="22"/>
            <w:lang w:val="fr-BE" w:eastAsia="fr-BE"/>
          </w:rPr>
          <w:tab/>
        </w:r>
        <w:r w:rsidRPr="00625BE1">
          <w:rPr>
            <w:rStyle w:val="Hyperlink"/>
            <w:noProof/>
          </w:rPr>
          <w:t>Mise sur le marché des articles pyrotechniques</w:t>
        </w:r>
        <w:r>
          <w:rPr>
            <w:noProof/>
            <w:webHidden/>
          </w:rPr>
          <w:tab/>
        </w:r>
        <w:r>
          <w:rPr>
            <w:noProof/>
            <w:webHidden/>
          </w:rPr>
          <w:fldChar w:fldCharType="begin"/>
        </w:r>
        <w:r>
          <w:rPr>
            <w:noProof/>
            <w:webHidden/>
          </w:rPr>
          <w:instrText xml:space="preserve"> PAGEREF _Toc66895225 \h </w:instrText>
        </w:r>
        <w:r>
          <w:rPr>
            <w:noProof/>
            <w:webHidden/>
          </w:rPr>
        </w:r>
        <w:r>
          <w:rPr>
            <w:noProof/>
            <w:webHidden/>
          </w:rPr>
          <w:fldChar w:fldCharType="separate"/>
        </w:r>
        <w:r>
          <w:rPr>
            <w:noProof/>
            <w:webHidden/>
          </w:rPr>
          <w:t>27</w:t>
        </w:r>
        <w:r>
          <w:rPr>
            <w:noProof/>
            <w:webHidden/>
          </w:rPr>
          <w:fldChar w:fldCharType="end"/>
        </w:r>
      </w:hyperlink>
    </w:p>
    <w:p w:rsidR="008526B7" w:rsidRPr="0000377F" w:rsidRDefault="008526B7">
      <w:pPr>
        <w:pStyle w:val="Inhopg1"/>
        <w:rPr>
          <w:rFonts w:ascii="Calibri" w:hAnsi="Calibri"/>
          <w:b w:val="0"/>
          <w:caps w:val="0"/>
          <w:noProof/>
          <w:sz w:val="22"/>
          <w:szCs w:val="22"/>
          <w:lang w:val="fr-BE" w:eastAsia="fr-BE"/>
        </w:rPr>
      </w:pPr>
      <w:hyperlink w:anchor="_Toc66895226" w:history="1">
        <w:r w:rsidRPr="00625BE1">
          <w:rPr>
            <w:rStyle w:val="Hyperlink"/>
            <w:noProof/>
          </w:rPr>
          <w:t>4 Les merlons</w:t>
        </w:r>
        <w:r>
          <w:rPr>
            <w:noProof/>
            <w:webHidden/>
          </w:rPr>
          <w:tab/>
        </w:r>
        <w:r>
          <w:rPr>
            <w:noProof/>
            <w:webHidden/>
          </w:rPr>
          <w:fldChar w:fldCharType="begin"/>
        </w:r>
        <w:r>
          <w:rPr>
            <w:noProof/>
            <w:webHidden/>
          </w:rPr>
          <w:instrText xml:space="preserve"> PAGEREF _Toc66895226 \h </w:instrText>
        </w:r>
        <w:r>
          <w:rPr>
            <w:noProof/>
            <w:webHidden/>
          </w:rPr>
        </w:r>
        <w:r>
          <w:rPr>
            <w:noProof/>
            <w:webHidden/>
          </w:rPr>
          <w:fldChar w:fldCharType="separate"/>
        </w:r>
        <w:r>
          <w:rPr>
            <w:noProof/>
            <w:webHidden/>
          </w:rPr>
          <w:t>30</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7" w:history="1">
        <w:r w:rsidRPr="00625BE1">
          <w:rPr>
            <w:rStyle w:val="Hyperlink"/>
            <w:noProof/>
          </w:rPr>
          <w:t>4.1</w:t>
        </w:r>
        <w:r w:rsidRPr="0000377F">
          <w:rPr>
            <w:rFonts w:ascii="Calibri" w:hAnsi="Calibri"/>
            <w:smallCaps w:val="0"/>
            <w:noProof/>
            <w:sz w:val="22"/>
            <w:szCs w:val="22"/>
            <w:lang w:val="fr-BE" w:eastAsia="fr-BE"/>
          </w:rPr>
          <w:tab/>
        </w:r>
        <w:r w:rsidRPr="00625BE1">
          <w:rPr>
            <w:rStyle w:val="Hyperlink"/>
            <w:noProof/>
          </w:rPr>
          <w:t>Définition</w:t>
        </w:r>
        <w:r>
          <w:rPr>
            <w:noProof/>
            <w:webHidden/>
          </w:rPr>
          <w:tab/>
        </w:r>
        <w:r>
          <w:rPr>
            <w:noProof/>
            <w:webHidden/>
          </w:rPr>
          <w:fldChar w:fldCharType="begin"/>
        </w:r>
        <w:r>
          <w:rPr>
            <w:noProof/>
            <w:webHidden/>
          </w:rPr>
          <w:instrText xml:space="preserve"> PAGEREF _Toc66895227 \h </w:instrText>
        </w:r>
        <w:r>
          <w:rPr>
            <w:noProof/>
            <w:webHidden/>
          </w:rPr>
        </w:r>
        <w:r>
          <w:rPr>
            <w:noProof/>
            <w:webHidden/>
          </w:rPr>
          <w:fldChar w:fldCharType="separate"/>
        </w:r>
        <w:r>
          <w:rPr>
            <w:noProof/>
            <w:webHidden/>
          </w:rPr>
          <w:t>30</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8" w:history="1">
        <w:r w:rsidRPr="00625BE1">
          <w:rPr>
            <w:rStyle w:val="Hyperlink"/>
            <w:noProof/>
          </w:rPr>
          <w:t>4.2</w:t>
        </w:r>
        <w:r w:rsidRPr="0000377F">
          <w:rPr>
            <w:rFonts w:ascii="Calibri" w:hAnsi="Calibri"/>
            <w:smallCaps w:val="0"/>
            <w:noProof/>
            <w:sz w:val="22"/>
            <w:szCs w:val="22"/>
            <w:lang w:val="fr-BE" w:eastAsia="fr-BE"/>
          </w:rPr>
          <w:tab/>
        </w:r>
        <w:r w:rsidRPr="00625BE1">
          <w:rPr>
            <w:rStyle w:val="Hyperlink"/>
            <w:noProof/>
          </w:rPr>
          <w:t>Fonctions du merlon</w:t>
        </w:r>
        <w:r>
          <w:rPr>
            <w:noProof/>
            <w:webHidden/>
          </w:rPr>
          <w:tab/>
        </w:r>
        <w:r>
          <w:rPr>
            <w:noProof/>
            <w:webHidden/>
          </w:rPr>
          <w:fldChar w:fldCharType="begin"/>
        </w:r>
        <w:r>
          <w:rPr>
            <w:noProof/>
            <w:webHidden/>
          </w:rPr>
          <w:instrText xml:space="preserve"> PAGEREF _Toc66895228 \h </w:instrText>
        </w:r>
        <w:r>
          <w:rPr>
            <w:noProof/>
            <w:webHidden/>
          </w:rPr>
        </w:r>
        <w:r>
          <w:rPr>
            <w:noProof/>
            <w:webHidden/>
          </w:rPr>
          <w:fldChar w:fldCharType="separate"/>
        </w:r>
        <w:r>
          <w:rPr>
            <w:noProof/>
            <w:webHidden/>
          </w:rPr>
          <w:t>30</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29" w:history="1">
        <w:r w:rsidRPr="00625BE1">
          <w:rPr>
            <w:rStyle w:val="Hyperlink"/>
            <w:noProof/>
          </w:rPr>
          <w:t>4.3</w:t>
        </w:r>
        <w:r w:rsidRPr="0000377F">
          <w:rPr>
            <w:rFonts w:ascii="Calibri" w:hAnsi="Calibri"/>
            <w:smallCaps w:val="0"/>
            <w:noProof/>
            <w:sz w:val="22"/>
            <w:szCs w:val="22"/>
            <w:lang w:val="fr-BE" w:eastAsia="fr-BE"/>
          </w:rPr>
          <w:tab/>
        </w:r>
        <w:r w:rsidRPr="00625BE1">
          <w:rPr>
            <w:rStyle w:val="Hyperlink"/>
            <w:noProof/>
          </w:rPr>
          <w:t>Géométrie des merlons en terre</w:t>
        </w:r>
        <w:r>
          <w:rPr>
            <w:noProof/>
            <w:webHidden/>
          </w:rPr>
          <w:tab/>
        </w:r>
        <w:r>
          <w:rPr>
            <w:noProof/>
            <w:webHidden/>
          </w:rPr>
          <w:fldChar w:fldCharType="begin"/>
        </w:r>
        <w:r>
          <w:rPr>
            <w:noProof/>
            <w:webHidden/>
          </w:rPr>
          <w:instrText xml:space="preserve"> PAGEREF _Toc66895229 \h </w:instrText>
        </w:r>
        <w:r>
          <w:rPr>
            <w:noProof/>
            <w:webHidden/>
          </w:rPr>
        </w:r>
        <w:r>
          <w:rPr>
            <w:noProof/>
            <w:webHidden/>
          </w:rPr>
          <w:fldChar w:fldCharType="separate"/>
        </w:r>
        <w:r>
          <w:rPr>
            <w:noProof/>
            <w:webHidden/>
          </w:rPr>
          <w:t>31</w:t>
        </w:r>
        <w:r>
          <w:rPr>
            <w:noProof/>
            <w:webHidden/>
          </w:rPr>
          <w:fldChar w:fldCharType="end"/>
        </w:r>
      </w:hyperlink>
    </w:p>
    <w:p w:rsidR="008526B7" w:rsidRPr="0000377F" w:rsidRDefault="008526B7">
      <w:pPr>
        <w:pStyle w:val="Inhopg2"/>
        <w:rPr>
          <w:rFonts w:ascii="Calibri" w:hAnsi="Calibri"/>
          <w:smallCaps w:val="0"/>
          <w:noProof/>
          <w:sz w:val="22"/>
          <w:szCs w:val="22"/>
          <w:lang w:val="fr-BE" w:eastAsia="fr-BE"/>
        </w:rPr>
      </w:pPr>
      <w:hyperlink w:anchor="_Toc66895230" w:history="1">
        <w:r w:rsidRPr="00625BE1">
          <w:rPr>
            <w:rStyle w:val="Hyperlink"/>
            <w:noProof/>
          </w:rPr>
          <w:t>4.4</w:t>
        </w:r>
        <w:r w:rsidRPr="0000377F">
          <w:rPr>
            <w:rFonts w:ascii="Calibri" w:hAnsi="Calibri"/>
            <w:smallCaps w:val="0"/>
            <w:noProof/>
            <w:sz w:val="22"/>
            <w:szCs w:val="22"/>
            <w:lang w:val="fr-BE" w:eastAsia="fr-BE"/>
          </w:rPr>
          <w:tab/>
        </w:r>
        <w:r w:rsidRPr="00625BE1">
          <w:rPr>
            <w:rStyle w:val="Hyperlink"/>
            <w:noProof/>
          </w:rPr>
          <w:t>Matériaux pour les merlons en terre et pour les couvertures des bâtiments</w:t>
        </w:r>
        <w:r>
          <w:rPr>
            <w:noProof/>
            <w:webHidden/>
          </w:rPr>
          <w:tab/>
        </w:r>
        <w:r>
          <w:rPr>
            <w:noProof/>
            <w:webHidden/>
          </w:rPr>
          <w:fldChar w:fldCharType="begin"/>
        </w:r>
        <w:r>
          <w:rPr>
            <w:noProof/>
            <w:webHidden/>
          </w:rPr>
          <w:instrText xml:space="preserve"> PAGEREF _Toc66895230 \h </w:instrText>
        </w:r>
        <w:r>
          <w:rPr>
            <w:noProof/>
            <w:webHidden/>
          </w:rPr>
        </w:r>
        <w:r>
          <w:rPr>
            <w:noProof/>
            <w:webHidden/>
          </w:rPr>
          <w:fldChar w:fldCharType="separate"/>
        </w:r>
        <w:r>
          <w:rPr>
            <w:noProof/>
            <w:webHidden/>
          </w:rPr>
          <w:t>36</w:t>
        </w:r>
        <w:r>
          <w:rPr>
            <w:noProof/>
            <w:webHidden/>
          </w:rPr>
          <w:fldChar w:fldCharType="end"/>
        </w:r>
      </w:hyperlink>
    </w:p>
    <w:p w:rsidR="008526B7" w:rsidRDefault="008526B7">
      <w:pPr>
        <w:pStyle w:val="Inhopg1"/>
        <w:rPr>
          <w:rStyle w:val="Hyperlink"/>
          <w:noProof/>
        </w:rPr>
      </w:pPr>
      <w:hyperlink w:anchor="_Toc66895231" w:history="1">
        <w:r w:rsidRPr="00625BE1">
          <w:rPr>
            <w:rStyle w:val="Hyperlink"/>
            <w:noProof/>
          </w:rPr>
          <w:t>5 Check-lists pour le stockage des explosibles</w:t>
        </w:r>
        <w:r>
          <w:rPr>
            <w:noProof/>
            <w:webHidden/>
          </w:rPr>
          <w:tab/>
        </w:r>
        <w:r>
          <w:rPr>
            <w:noProof/>
            <w:webHidden/>
          </w:rPr>
          <w:fldChar w:fldCharType="begin"/>
        </w:r>
        <w:r>
          <w:rPr>
            <w:noProof/>
            <w:webHidden/>
          </w:rPr>
          <w:instrText xml:space="preserve"> PAGEREF _Toc66895231 \h </w:instrText>
        </w:r>
        <w:r>
          <w:rPr>
            <w:noProof/>
            <w:webHidden/>
          </w:rPr>
        </w:r>
        <w:r>
          <w:rPr>
            <w:noProof/>
            <w:webHidden/>
          </w:rPr>
          <w:fldChar w:fldCharType="separate"/>
        </w:r>
        <w:r>
          <w:rPr>
            <w:noProof/>
            <w:webHidden/>
          </w:rPr>
          <w:t>38</w:t>
        </w:r>
        <w:r>
          <w:rPr>
            <w:noProof/>
            <w:webHidden/>
          </w:rPr>
          <w:fldChar w:fldCharType="end"/>
        </w:r>
      </w:hyperlink>
    </w:p>
    <w:p w:rsidR="008526B7" w:rsidRDefault="008526B7" w:rsidP="008526B7">
      <w:pPr>
        <w:ind w:firstLine="720"/>
        <w:rPr>
          <w:lang w:val="nl"/>
        </w:rPr>
      </w:pPr>
      <w:r>
        <w:rPr>
          <w:lang w:val="nl"/>
        </w:rPr>
        <w:t>Check-list aministrative ………………………………………………………………………………………… 39</w:t>
      </w:r>
    </w:p>
    <w:p w:rsidR="008526B7" w:rsidRPr="008526B7" w:rsidRDefault="008526B7" w:rsidP="008526B7">
      <w:pPr>
        <w:rPr>
          <w:lang w:val="nl"/>
        </w:rPr>
      </w:pPr>
      <w:r>
        <w:rPr>
          <w:lang w:val="nl"/>
        </w:rPr>
        <w:tab/>
        <w:t>Check-list sur site …………………………………………………………………………………………………. 55</w:t>
      </w:r>
    </w:p>
    <w:p w:rsidR="008526B7" w:rsidRPr="0000377F" w:rsidRDefault="008526B7">
      <w:pPr>
        <w:pStyle w:val="Inhopg1"/>
        <w:rPr>
          <w:rFonts w:ascii="Calibri" w:hAnsi="Calibri"/>
          <w:b w:val="0"/>
          <w:caps w:val="0"/>
          <w:noProof/>
          <w:sz w:val="22"/>
          <w:szCs w:val="22"/>
          <w:lang w:val="fr-BE" w:eastAsia="fr-BE"/>
        </w:rPr>
      </w:pPr>
      <w:hyperlink w:anchor="_Toc66895232" w:history="1">
        <w:r w:rsidRPr="00625BE1">
          <w:rPr>
            <w:rStyle w:val="Hyperlink"/>
            <w:noProof/>
          </w:rPr>
          <w:t>6 Bibliographie</w:t>
        </w:r>
        <w:r>
          <w:rPr>
            <w:noProof/>
            <w:webHidden/>
          </w:rPr>
          <w:tab/>
        </w:r>
        <w:r>
          <w:rPr>
            <w:noProof/>
            <w:webHidden/>
          </w:rPr>
          <w:fldChar w:fldCharType="begin"/>
        </w:r>
        <w:r>
          <w:rPr>
            <w:noProof/>
            <w:webHidden/>
          </w:rPr>
          <w:instrText xml:space="preserve"> PAGEREF _Toc66895232 \h </w:instrText>
        </w:r>
        <w:r>
          <w:rPr>
            <w:noProof/>
            <w:webHidden/>
          </w:rPr>
        </w:r>
        <w:r>
          <w:rPr>
            <w:noProof/>
            <w:webHidden/>
          </w:rPr>
          <w:fldChar w:fldCharType="separate"/>
        </w:r>
        <w:r>
          <w:rPr>
            <w:noProof/>
            <w:webHidden/>
          </w:rPr>
          <w:t>70</w:t>
        </w:r>
        <w:r>
          <w:rPr>
            <w:noProof/>
            <w:webHidden/>
          </w:rPr>
          <w:fldChar w:fldCharType="end"/>
        </w:r>
      </w:hyperlink>
    </w:p>
    <w:p w:rsidR="00D03E4A" w:rsidRDefault="004E75F5" w:rsidP="00DA0CC3">
      <w:pPr>
        <w:autoSpaceDE w:val="0"/>
        <w:autoSpaceDN w:val="0"/>
        <w:adjustRightInd w:val="0"/>
        <w:rPr>
          <w:b/>
          <w:bCs/>
          <w:szCs w:val="24"/>
          <w:lang w:val="fr-FR" w:eastAsia="fr-FR"/>
        </w:rPr>
      </w:pPr>
      <w:r>
        <w:rPr>
          <w:b/>
          <w:bCs/>
          <w:szCs w:val="24"/>
          <w:lang w:val="fr-FR" w:eastAsia="fr-FR"/>
        </w:rPr>
        <w:fldChar w:fldCharType="end"/>
      </w:r>
    </w:p>
    <w:p w:rsidR="00D03E4A" w:rsidRDefault="00D03E4A" w:rsidP="00DA0CC3">
      <w:pPr>
        <w:autoSpaceDE w:val="0"/>
        <w:autoSpaceDN w:val="0"/>
        <w:adjustRightInd w:val="0"/>
        <w:rPr>
          <w:b/>
          <w:bCs/>
          <w:szCs w:val="24"/>
          <w:lang w:val="fr-FR" w:eastAsia="fr-FR"/>
        </w:rPr>
      </w:pPr>
      <w:r>
        <w:rPr>
          <w:b/>
          <w:bCs/>
          <w:szCs w:val="24"/>
          <w:lang w:val="fr-FR" w:eastAsia="fr-FR"/>
        </w:rPr>
        <w:br w:type="page"/>
      </w:r>
      <w:r>
        <w:rPr>
          <w:b/>
          <w:bCs/>
          <w:noProof/>
          <w:szCs w:val="24"/>
          <w:lang w:val="nl-NL" w:eastAsia="nl-NL"/>
        </w:rPr>
        <w:pict>
          <v:rect id="_x0000_s1050" style="position:absolute;left:0;text-align:left;margin-left:-11.65pt;margin-top:-48.4pt;width:485.25pt;height:30pt;z-index:2" stroked="f"/>
        </w:pict>
      </w:r>
    </w:p>
    <w:p w:rsidR="00DA0CC3" w:rsidRPr="00047A6B" w:rsidRDefault="00D03E4A" w:rsidP="00DA0CC3">
      <w:pPr>
        <w:autoSpaceDE w:val="0"/>
        <w:autoSpaceDN w:val="0"/>
        <w:adjustRightInd w:val="0"/>
        <w:rPr>
          <w:b/>
          <w:bCs/>
          <w:szCs w:val="24"/>
          <w:lang w:val="fr-FR" w:eastAsia="fr-FR"/>
        </w:rPr>
      </w:pPr>
      <w:r>
        <w:rPr>
          <w:b/>
          <w:bCs/>
          <w:noProof/>
          <w:szCs w:val="24"/>
          <w:lang w:val="nl-NL" w:eastAsia="nl-NL"/>
        </w:rPr>
        <w:pict>
          <v:rect id="_x0000_s1051" style="position:absolute;left:0;text-align:left;margin-left:-10.9pt;margin-top:694.7pt;width:485.25pt;height:30pt;z-index:3" stroked="f"/>
        </w:pict>
      </w:r>
      <w:r w:rsidR="00DA0CC3">
        <w:rPr>
          <w:b/>
          <w:bCs/>
          <w:szCs w:val="24"/>
          <w:lang w:val="fr-FR" w:eastAsia="fr-FR"/>
        </w:rPr>
        <w:br w:type="page"/>
      </w:r>
    </w:p>
    <w:p w:rsidR="00DA0CC3" w:rsidRPr="00047A6B" w:rsidRDefault="00EE2714" w:rsidP="00DA0CC3">
      <w:pPr>
        <w:autoSpaceDE w:val="0"/>
        <w:autoSpaceDN w:val="0"/>
        <w:adjustRightInd w:val="0"/>
        <w:rPr>
          <w:b/>
          <w:bCs/>
          <w:szCs w:val="24"/>
          <w:lang w:val="fr-FR" w:eastAsia="fr-FR"/>
        </w:rPr>
      </w:pPr>
      <w:r>
        <w:pict>
          <v:shape id="_x0000_i1025" type="#_x0000_t75" style="width:450pt;height:180pt">
            <v:imagedata r:id="rId20" o:title="DSCN0364"/>
          </v:shape>
        </w:pict>
      </w:r>
    </w:p>
    <w:p w:rsidR="00DA0CC3" w:rsidRPr="007726AC" w:rsidRDefault="007726AC" w:rsidP="007726AC">
      <w:pPr>
        <w:pStyle w:val="Kop1"/>
      </w:pPr>
      <w:bookmarkStart w:id="1" w:name="_Toc273177649"/>
      <w:bookmarkStart w:id="2" w:name="_Toc273212904"/>
      <w:bookmarkStart w:id="3" w:name="_Toc273379171"/>
      <w:bookmarkStart w:id="4" w:name="_Toc275762494"/>
      <w:r>
        <w:br/>
      </w:r>
      <w:bookmarkStart w:id="5" w:name="_Toc279158346"/>
      <w:bookmarkStart w:id="6" w:name="_Toc66895215"/>
      <w:r w:rsidR="00DA0CC3" w:rsidRPr="007726AC">
        <w:t>Commentaires</w:t>
      </w:r>
      <w:bookmarkEnd w:id="6"/>
      <w:r w:rsidR="00DA0CC3" w:rsidRPr="007726AC">
        <w:t xml:space="preserve"> </w:t>
      </w:r>
      <w:bookmarkEnd w:id="1"/>
      <w:bookmarkEnd w:id="2"/>
      <w:bookmarkEnd w:id="3"/>
      <w:bookmarkEnd w:id="4"/>
      <w:bookmarkEnd w:id="5"/>
    </w:p>
    <w:p w:rsidR="00DA0CC3" w:rsidRPr="00D515D9" w:rsidRDefault="00DA0CC3" w:rsidP="00C52BCA">
      <w:pPr>
        <w:pStyle w:val="Kop2"/>
      </w:pPr>
      <w:bookmarkStart w:id="7" w:name="_Toc183928790"/>
      <w:bookmarkStart w:id="8" w:name="_Toc255482075"/>
      <w:bookmarkStart w:id="9" w:name="_Toc273011769"/>
      <w:bookmarkStart w:id="10" w:name="_Toc273011799"/>
      <w:bookmarkStart w:id="11" w:name="_Toc279158347"/>
      <w:bookmarkStart w:id="12" w:name="_Toc66895216"/>
      <w:r w:rsidRPr="006C343F">
        <w:t>Champ</w:t>
      </w:r>
      <w:r w:rsidRPr="00D515D9">
        <w:t xml:space="preserve"> d’application</w:t>
      </w:r>
      <w:bookmarkEnd w:id="7"/>
      <w:bookmarkEnd w:id="8"/>
      <w:bookmarkEnd w:id="9"/>
      <w:bookmarkEnd w:id="10"/>
      <w:bookmarkEnd w:id="11"/>
      <w:bookmarkEnd w:id="12"/>
    </w:p>
    <w:p w:rsidR="00DA0CC3" w:rsidRPr="00906B1A" w:rsidRDefault="00DA0CC3" w:rsidP="00DA0CC3">
      <w:pPr>
        <w:rPr>
          <w:lang w:val="fr-FR"/>
        </w:rPr>
      </w:pPr>
    </w:p>
    <w:p w:rsidR="00DA0CC3" w:rsidRDefault="00DA0CC3" w:rsidP="00DA0CC3">
      <w:pPr>
        <w:rPr>
          <w:lang w:val="fr-FR"/>
        </w:rPr>
      </w:pPr>
      <w:r w:rsidRPr="00DB352F">
        <w:rPr>
          <w:lang w:val="fr-FR"/>
        </w:rPr>
        <w:t>Cet outil d’inspection est utilisé par les services belges d’inspection Seveso pour assurer des inspections systématiques des</w:t>
      </w:r>
      <w:r w:rsidR="00767C74">
        <w:rPr>
          <w:lang w:val="fr-FR"/>
        </w:rPr>
        <w:t xml:space="preserve"> établissements Seveso</w:t>
      </w:r>
      <w:r w:rsidRPr="00DB352F">
        <w:rPr>
          <w:lang w:val="fr-FR"/>
        </w:rPr>
        <w:t xml:space="preserve"> possédant sur leur site </w:t>
      </w:r>
      <w:r w:rsidR="00766740">
        <w:rPr>
          <w:lang w:val="fr-FR"/>
        </w:rPr>
        <w:t>des</w:t>
      </w:r>
      <w:r w:rsidR="00767C74">
        <w:rPr>
          <w:lang w:val="fr-FR"/>
        </w:rPr>
        <w:t xml:space="preserve"> </w:t>
      </w:r>
      <w:r w:rsidR="00766740">
        <w:rPr>
          <w:lang w:val="fr-FR"/>
        </w:rPr>
        <w:t>explosi</w:t>
      </w:r>
      <w:r w:rsidR="00767C74">
        <w:rPr>
          <w:lang w:val="fr-FR"/>
        </w:rPr>
        <w:t>ble</w:t>
      </w:r>
      <w:r w:rsidR="003F0373">
        <w:rPr>
          <w:lang w:val="fr-FR"/>
        </w:rPr>
        <w:t>s</w:t>
      </w:r>
      <w:r w:rsidR="00766740">
        <w:rPr>
          <w:lang w:val="fr-FR"/>
        </w:rPr>
        <w:t xml:space="preserve"> </w:t>
      </w:r>
      <w:r w:rsidR="00767C74">
        <w:rPr>
          <w:lang w:val="fr-FR"/>
        </w:rPr>
        <w:t>au sens de</w:t>
      </w:r>
      <w:r w:rsidRPr="00DB352F">
        <w:rPr>
          <w:lang w:val="fr-FR"/>
        </w:rPr>
        <w:t xml:space="preserve"> la </w:t>
      </w:r>
      <w:r w:rsidR="000F1004">
        <w:rPr>
          <w:lang w:val="fr-FR"/>
        </w:rPr>
        <w:t>réglementation</w:t>
      </w:r>
      <w:r w:rsidRPr="00DB352F">
        <w:rPr>
          <w:lang w:val="fr-FR"/>
        </w:rPr>
        <w:t xml:space="preserve"> Seveso.</w:t>
      </w:r>
      <w:r w:rsidR="00E076A1">
        <w:rPr>
          <w:lang w:val="fr-FR"/>
        </w:rPr>
        <w:t xml:space="preserve"> Les dépôts </w:t>
      </w:r>
      <w:r w:rsidR="00E076A1">
        <w:t>d’émulsions, suspensions ou gels de nitrate d’ammonium servant à la fabrication des explosifs de mine (</w:t>
      </w:r>
      <w:r w:rsidR="008761D7">
        <w:t>UN</w:t>
      </w:r>
      <w:r w:rsidR="00E076A1">
        <w:t xml:space="preserve"> 3375, classe 5.1-matière comburante)</w:t>
      </w:r>
      <w:r w:rsidR="00CB1375">
        <w:t xml:space="preserve"> ainsi que la classe des explos</w:t>
      </w:r>
      <w:r w:rsidR="00E20015">
        <w:t>ibles</w:t>
      </w:r>
      <w:r w:rsidR="00CB1375">
        <w:t xml:space="preserve"> désensibilisés</w:t>
      </w:r>
      <w:r w:rsidR="00E076A1">
        <w:t xml:space="preserve"> </w:t>
      </w:r>
      <w:r w:rsidR="00CB1375">
        <w:t xml:space="preserve">(ex : nitrocellulose désensibilisée) </w:t>
      </w:r>
      <w:r w:rsidR="00E076A1">
        <w:t>sont également visés par ce document.</w:t>
      </w:r>
    </w:p>
    <w:p w:rsidR="00DA0CC3" w:rsidRPr="00DB352F" w:rsidRDefault="00DA0CC3" w:rsidP="00DA0CC3">
      <w:pPr>
        <w:rPr>
          <w:lang w:val="fr-FR"/>
        </w:rPr>
      </w:pPr>
    </w:p>
    <w:p w:rsidR="00DA0CC3" w:rsidRPr="00DB352F" w:rsidRDefault="00DA0CC3" w:rsidP="00DA0CC3">
      <w:pPr>
        <w:rPr>
          <w:lang w:val="fr-FR"/>
        </w:rPr>
      </w:pPr>
      <w:r w:rsidRPr="00DB352F">
        <w:rPr>
          <w:lang w:val="fr-FR"/>
        </w:rPr>
        <w:t xml:space="preserve">Sont visés par cet outil, </w:t>
      </w:r>
      <w:r w:rsidR="00766740">
        <w:rPr>
          <w:lang w:val="fr-FR"/>
        </w:rPr>
        <w:t>tous les types de stockage</w:t>
      </w:r>
      <w:r w:rsidR="00DB127F">
        <w:rPr>
          <w:lang w:val="fr-FR"/>
        </w:rPr>
        <w:t>.</w:t>
      </w:r>
    </w:p>
    <w:p w:rsidR="00DA0CC3" w:rsidRPr="00DB352F" w:rsidRDefault="00DA0CC3" w:rsidP="00DA0CC3">
      <w:pPr>
        <w:rPr>
          <w:lang w:val="fr-FR"/>
        </w:rPr>
      </w:pPr>
    </w:p>
    <w:p w:rsidR="00DA0CC3" w:rsidRPr="00906B1A" w:rsidRDefault="00DA0CC3" w:rsidP="00DA0CC3">
      <w:pPr>
        <w:rPr>
          <w:lang w:val="fr-FR"/>
        </w:rPr>
      </w:pPr>
    </w:p>
    <w:p w:rsidR="00DA0CC3" w:rsidRPr="00DB352F" w:rsidRDefault="000D2326" w:rsidP="00C52BCA">
      <w:pPr>
        <w:pStyle w:val="Kop2"/>
      </w:pPr>
      <w:bookmarkStart w:id="13" w:name="_Toc255482077"/>
      <w:bookmarkStart w:id="14" w:name="_Toc273011771"/>
      <w:bookmarkStart w:id="15" w:name="_Toc273011801"/>
      <w:r>
        <w:t xml:space="preserve"> </w:t>
      </w:r>
      <w:bookmarkStart w:id="16" w:name="_Toc279158349"/>
      <w:bookmarkStart w:id="17" w:name="_Toc66895217"/>
      <w:r w:rsidR="00DA0CC3" w:rsidRPr="00DB352F">
        <w:t>Application de l’outil d’inspection</w:t>
      </w:r>
      <w:bookmarkEnd w:id="13"/>
      <w:bookmarkEnd w:id="14"/>
      <w:bookmarkEnd w:id="15"/>
      <w:bookmarkEnd w:id="16"/>
      <w:bookmarkEnd w:id="17"/>
    </w:p>
    <w:p w:rsidR="00DA0CC3" w:rsidRPr="00906B1A" w:rsidRDefault="00DA0CC3" w:rsidP="00DA0CC3"/>
    <w:p w:rsidR="00DA0CC3" w:rsidRPr="00906B1A" w:rsidRDefault="00DA0CC3" w:rsidP="00DA0CC3">
      <w:r w:rsidRPr="00906B1A">
        <w:t>L’outil d’inspection se présente sous la forme d</w:t>
      </w:r>
      <w:r w:rsidR="001A189F">
        <w:t>’un</w:t>
      </w:r>
      <w:r w:rsidRPr="00906B1A">
        <w:t xml:space="preserve"> </w:t>
      </w:r>
      <w:r w:rsidR="001A189F">
        <w:t>tableau</w:t>
      </w:r>
      <w:r w:rsidRPr="00906B1A">
        <w:t>.</w:t>
      </w:r>
    </w:p>
    <w:p w:rsidR="00DA0CC3" w:rsidRPr="00906B1A" w:rsidRDefault="00DA0CC3" w:rsidP="00DA0CC3"/>
    <w:p w:rsidR="00D15C53" w:rsidRPr="00906B1A" w:rsidRDefault="00D15C53" w:rsidP="00D15C53"/>
    <w:p w:rsidR="00D15C53" w:rsidRDefault="00D15C53" w:rsidP="00D15C53">
      <w:r>
        <w:t>Il se compose de 2 parties : une check-list « administrative » et une check-list « sur site ». La première partie permet donc de contrôler une série de mesures dans les bureaux : les autorisations en cours, les procédures et instructions, les formations, …</w:t>
      </w:r>
    </w:p>
    <w:p w:rsidR="00D15C53" w:rsidRDefault="00D15C53" w:rsidP="00D15C53">
      <w:r>
        <w:br/>
        <w:t>La seconde partie a été développée afin de soutenir les vérifications sur le terrain. Elle vise aussi-bien l’intérieur du dépôt que ses abords.</w:t>
      </w:r>
    </w:p>
    <w:p w:rsidR="00D15C53" w:rsidRDefault="00D15C53" w:rsidP="005E6C7D"/>
    <w:p w:rsidR="00DA0CC3" w:rsidRPr="00906B1A" w:rsidRDefault="008134D2" w:rsidP="00DA0CC3">
      <w:r>
        <w:t>Dans chacune de ces check-lists, les différentes mesures de sécurité listées permettent de réduire les risques tels que l’Incendie</w:t>
      </w:r>
      <w:r w:rsidR="00E20015">
        <w:t xml:space="preserve"> (I)</w:t>
      </w:r>
      <w:r>
        <w:t>, l’Explosion</w:t>
      </w:r>
      <w:r w:rsidR="00E20015">
        <w:t xml:space="preserve"> (E)</w:t>
      </w:r>
      <w:r>
        <w:t>, la Contamination</w:t>
      </w:r>
      <w:r w:rsidR="00E20015">
        <w:t xml:space="preserve"> (C)</w:t>
      </w:r>
      <w:r>
        <w:t>, le Vol/malveillance</w:t>
      </w:r>
      <w:r w:rsidR="00E20015">
        <w:t xml:space="preserve"> (V)</w:t>
      </w:r>
      <w:r>
        <w:t xml:space="preserve"> et l</w:t>
      </w:r>
      <w:r w:rsidR="00384ECA">
        <w:t>e risque de blessure, voire de mort, des Travailleurs</w:t>
      </w:r>
      <w:r w:rsidR="00E20015">
        <w:t xml:space="preserve"> (T)</w:t>
      </w:r>
      <w:r w:rsidR="00384ECA">
        <w:t>. Ces risques sont identifiés dans les 5 dernières colonnes</w:t>
      </w:r>
      <w:r>
        <w:t>.</w:t>
      </w:r>
      <w:r w:rsidR="00384ECA" w:rsidDel="00384ECA">
        <w:t xml:space="preserve"> </w:t>
      </w:r>
      <w:r w:rsidR="00384ECA">
        <w:t>Dans le cas d’une mesure générale (autorisation, formation, …), aucun risque spécifique n’est coché.</w:t>
      </w:r>
    </w:p>
    <w:p w:rsidR="00766740" w:rsidRDefault="00766740" w:rsidP="00DA0CC3"/>
    <w:p w:rsidR="00D03E4A" w:rsidRDefault="00D03E4A" w:rsidP="00DA0CC3">
      <w:r>
        <w:br w:type="page"/>
      </w:r>
    </w:p>
    <w:p w:rsidR="00D03E4A" w:rsidRDefault="00D03E4A" w:rsidP="00DA0CC3">
      <w:r>
        <w:rPr>
          <w:noProof/>
          <w:lang w:val="nl-NL" w:eastAsia="nl-NL"/>
        </w:rPr>
        <w:pict>
          <v:rect id="_x0000_s1052" style="position:absolute;left:0;text-align:left;margin-left:.35pt;margin-top:-48.55pt;width:485.25pt;height:30pt;z-index:4" stroked="f"/>
        </w:pict>
      </w:r>
    </w:p>
    <w:p w:rsidR="007B12CF" w:rsidRDefault="00D03E4A" w:rsidP="00554A38">
      <w:r>
        <w:rPr>
          <w:noProof/>
          <w:lang w:val="nl-NL" w:eastAsia="nl-NL"/>
        </w:rPr>
        <w:pict>
          <v:rect id="_x0000_s1053" style="position:absolute;left:0;text-align:left;margin-left:-13.9pt;margin-top:686.3pt;width:485.25pt;height:30pt;z-index:5" stroked="f"/>
        </w:pict>
      </w:r>
      <w:r w:rsidR="00DA0CC3" w:rsidRPr="00047A6B">
        <w:br w:type="page"/>
      </w:r>
      <w:bookmarkStart w:id="18" w:name="_Toc110930207"/>
      <w:bookmarkStart w:id="19" w:name="_Toc279158350"/>
      <w:bookmarkStart w:id="20" w:name="_Toc279158351"/>
      <w:bookmarkEnd w:id="19"/>
      <w:bookmarkEnd w:id="20"/>
    </w:p>
    <w:p w:rsidR="00EE2714" w:rsidRPr="007B12CF" w:rsidRDefault="00EE2714" w:rsidP="00554A38">
      <w:r>
        <w:pict>
          <v:shape id="_x0000_i1026" type="#_x0000_t75" style="width:450pt;height:180pt">
            <v:imagedata r:id="rId20" o:title="DSCN0364"/>
          </v:shape>
        </w:pict>
      </w:r>
    </w:p>
    <w:p w:rsidR="00DA0CC3" w:rsidRPr="007B12CF" w:rsidRDefault="00554A38" w:rsidP="00EE2714">
      <w:pPr>
        <w:pStyle w:val="Kop1"/>
        <w:ind w:left="1151" w:hanging="431"/>
        <w:rPr>
          <w:lang w:eastAsia="fr-FR"/>
        </w:rPr>
      </w:pPr>
      <w:bookmarkStart w:id="21" w:name="_Toc279158353"/>
      <w:r>
        <w:br/>
      </w:r>
      <w:bookmarkStart w:id="22" w:name="_Toc66895218"/>
      <w:r w:rsidR="00203817">
        <w:t>Classement</w:t>
      </w:r>
      <w:r w:rsidR="00DA0CC3" w:rsidRPr="007B12CF">
        <w:t xml:space="preserve"> d</w:t>
      </w:r>
      <w:r w:rsidR="000E45B8" w:rsidRPr="007B12CF">
        <w:t>es</w:t>
      </w:r>
      <w:r w:rsidR="00DA0CC3" w:rsidRPr="007B12CF">
        <w:br/>
      </w:r>
      <w:r w:rsidR="00AD326B">
        <w:t xml:space="preserve"> </w:t>
      </w:r>
      <w:r w:rsidR="000E45B8" w:rsidRPr="007B12CF">
        <w:t>explosi</w:t>
      </w:r>
      <w:r w:rsidR="00522B91">
        <w:t>bles</w:t>
      </w:r>
      <w:bookmarkEnd w:id="21"/>
      <w:bookmarkEnd w:id="22"/>
    </w:p>
    <w:p w:rsidR="00DA0CC3" w:rsidRPr="004125F3" w:rsidRDefault="00DA0CC3" w:rsidP="00DA0CC3">
      <w:pPr>
        <w:autoSpaceDE w:val="0"/>
        <w:autoSpaceDN w:val="0"/>
        <w:adjustRightInd w:val="0"/>
        <w:rPr>
          <w:i/>
        </w:rPr>
      </w:pPr>
    </w:p>
    <w:p w:rsidR="00C8490F" w:rsidRPr="00D643AA" w:rsidRDefault="008034DF" w:rsidP="00C52BCA">
      <w:pPr>
        <w:pStyle w:val="Kop2"/>
      </w:pPr>
      <w:bookmarkStart w:id="23" w:name="_Toc255482079"/>
      <w:bookmarkStart w:id="24" w:name="_Toc273011773"/>
      <w:bookmarkStart w:id="25" w:name="_Toc273011803"/>
      <w:bookmarkStart w:id="26" w:name="_Toc279158354"/>
      <w:bookmarkStart w:id="27" w:name="_Toc66895219"/>
      <w:bookmarkEnd w:id="18"/>
      <w:r w:rsidRPr="00D643AA">
        <w:t>Classement belge</w:t>
      </w:r>
      <w:bookmarkEnd w:id="23"/>
      <w:bookmarkEnd w:id="24"/>
      <w:bookmarkEnd w:id="25"/>
      <w:bookmarkEnd w:id="26"/>
      <w:bookmarkEnd w:id="27"/>
    </w:p>
    <w:p w:rsidR="00C8490F" w:rsidRPr="00E12DA9" w:rsidRDefault="00C8490F" w:rsidP="00C8490F"/>
    <w:p w:rsidR="00C8490F" w:rsidRPr="00E12DA9" w:rsidRDefault="008E6EDD" w:rsidP="00C8490F">
      <w:r w:rsidRPr="00E12DA9">
        <w:t xml:space="preserve">Au sens de la loi belge, les explosifs sont définis comme étant les substances et mélanges explosibles ou susceptibles de déflagrer et d'engins chargés de tels substances </w:t>
      </w:r>
      <w:r w:rsidR="00833ADC">
        <w:t>et/</w:t>
      </w:r>
      <w:r w:rsidRPr="00E12DA9">
        <w:t>ou mélanges qui sont susceptibles d'être utilisés pour leurs propriétés explosives, déflagrantes ou pyrotechniques.</w:t>
      </w:r>
    </w:p>
    <w:p w:rsidR="00C8490F" w:rsidRPr="00E12DA9" w:rsidRDefault="00C8490F" w:rsidP="00C8490F"/>
    <w:p w:rsidR="008E6EDD" w:rsidRPr="00E12DA9" w:rsidRDefault="008E6EDD" w:rsidP="00C8490F">
      <w:r w:rsidRPr="00E12DA9">
        <w:t xml:space="preserve">L'arrêté royal du 23 septembre 1958 portant règlement général sur la fabrication, l'emmagasinage, la détention, le </w:t>
      </w:r>
      <w:r w:rsidR="00A93883" w:rsidRPr="00E12DA9">
        <w:t>débit,</w:t>
      </w:r>
      <w:r w:rsidR="002241A6">
        <w:t xml:space="preserve"> le transport </w:t>
      </w:r>
      <w:r w:rsidRPr="00E12DA9">
        <w:t xml:space="preserve">et l'emploi des produits explosifs range ces produits dans les </w:t>
      </w:r>
      <w:r w:rsidR="00720FF8">
        <w:t xml:space="preserve">classes et catégories </w:t>
      </w:r>
      <w:r w:rsidR="00327DA3">
        <w:t>suivantes</w:t>
      </w:r>
      <w:r w:rsidR="00327DA3" w:rsidRPr="00E12DA9">
        <w:t xml:space="preserve"> :</w:t>
      </w:r>
    </w:p>
    <w:p w:rsidR="008E6EDD" w:rsidRPr="00E12DA9" w:rsidRDefault="008E6EDD" w:rsidP="00C8490F"/>
    <w:p w:rsidR="008E6EDD" w:rsidRPr="00E12DA9" w:rsidRDefault="008E6EDD" w:rsidP="008E6EDD">
      <w:pPr>
        <w:jc w:val="center"/>
      </w:pPr>
      <w:r w:rsidRPr="00E12DA9">
        <w:t>Classe A - Substances explosi</w:t>
      </w:r>
      <w:r w:rsidR="00767C74">
        <w:t>bl</w:t>
      </w:r>
      <w:r w:rsidRPr="00E12DA9">
        <w:t>es</w:t>
      </w:r>
    </w:p>
    <w:p w:rsidR="008E6EDD" w:rsidRPr="00E12DA9" w:rsidRDefault="008E6EDD" w:rsidP="008E6EDD">
      <w:pPr>
        <w:jc w:val="center"/>
      </w:pPr>
    </w:p>
    <w:p w:rsidR="008E6EDD" w:rsidRPr="00E12DA9" w:rsidRDefault="008E6EDD" w:rsidP="00866CCA">
      <w:pPr>
        <w:tabs>
          <w:tab w:val="left" w:pos="1440"/>
        </w:tabs>
      </w:pPr>
      <w:r w:rsidRPr="00E12DA9">
        <w:t>1</w:t>
      </w:r>
      <w:r w:rsidRPr="00E12DA9">
        <w:rPr>
          <w:vertAlign w:val="superscript"/>
        </w:rPr>
        <w:t>re</w:t>
      </w:r>
      <w:r w:rsidR="00866CCA">
        <w:t xml:space="preserve"> </w:t>
      </w:r>
      <w:r w:rsidR="00327DA3">
        <w:t>catégorie :</w:t>
      </w:r>
      <w:r w:rsidR="00866CCA">
        <w:tab/>
      </w:r>
      <w:r w:rsidRPr="00E12DA9">
        <w:t xml:space="preserve">poudre </w:t>
      </w:r>
      <w:r w:rsidR="00327DA3" w:rsidRPr="00E12DA9">
        <w:t>noire ;</w:t>
      </w:r>
    </w:p>
    <w:p w:rsidR="008E6EDD" w:rsidRPr="00E12DA9" w:rsidRDefault="008E6EDD" w:rsidP="00866CCA">
      <w:pPr>
        <w:tabs>
          <w:tab w:val="left" w:pos="1440"/>
        </w:tabs>
      </w:pPr>
      <w:r w:rsidRPr="00E12DA9">
        <w:t>2</w:t>
      </w:r>
      <w:r w:rsidRPr="00E12DA9">
        <w:rPr>
          <w:vertAlign w:val="superscript"/>
        </w:rPr>
        <w:t>e</w:t>
      </w:r>
      <w:r w:rsidR="00866CCA">
        <w:t xml:space="preserve"> </w:t>
      </w:r>
      <w:r w:rsidR="00327DA3">
        <w:t>catégorie :</w:t>
      </w:r>
      <w:r w:rsidR="00866CCA">
        <w:tab/>
      </w:r>
      <w:r w:rsidRPr="00E12DA9">
        <w:t>dynamites et explosifs y assimilés</w:t>
      </w:r>
      <w:r w:rsidR="00327DA3">
        <w:t> ;</w:t>
      </w:r>
    </w:p>
    <w:p w:rsidR="008E6EDD" w:rsidRPr="00E12DA9" w:rsidRDefault="008E6EDD" w:rsidP="00866CCA">
      <w:pPr>
        <w:tabs>
          <w:tab w:val="left" w:pos="1440"/>
        </w:tabs>
      </w:pPr>
      <w:r w:rsidRPr="00E12DA9">
        <w:t>3</w:t>
      </w:r>
      <w:r w:rsidRPr="00E12DA9">
        <w:rPr>
          <w:vertAlign w:val="superscript"/>
        </w:rPr>
        <w:t>e</w:t>
      </w:r>
      <w:r w:rsidR="00866CCA">
        <w:t xml:space="preserve"> </w:t>
      </w:r>
      <w:r w:rsidR="00327DA3">
        <w:t>catégorie :</w:t>
      </w:r>
      <w:r w:rsidR="00866CCA">
        <w:tab/>
      </w:r>
      <w:r w:rsidRPr="00E12DA9">
        <w:t xml:space="preserve">poudre sans </w:t>
      </w:r>
      <w:r w:rsidR="00327DA3" w:rsidRPr="00E12DA9">
        <w:t>fumée ;</w:t>
      </w:r>
    </w:p>
    <w:p w:rsidR="008E6EDD" w:rsidRPr="00E12DA9" w:rsidRDefault="008E6EDD" w:rsidP="00866CCA">
      <w:pPr>
        <w:tabs>
          <w:tab w:val="left" w:pos="1440"/>
        </w:tabs>
      </w:pPr>
      <w:r w:rsidRPr="00E12DA9">
        <w:t>4</w:t>
      </w:r>
      <w:r w:rsidRPr="00E12DA9">
        <w:rPr>
          <w:vertAlign w:val="superscript"/>
        </w:rPr>
        <w:t>e</w:t>
      </w:r>
      <w:r w:rsidR="00866CCA">
        <w:t xml:space="preserve"> </w:t>
      </w:r>
      <w:r w:rsidR="00327DA3">
        <w:t>catégorie :</w:t>
      </w:r>
      <w:r w:rsidR="00866CCA">
        <w:tab/>
      </w:r>
      <w:r w:rsidRPr="00E12DA9">
        <w:t xml:space="preserve">explosifs difficilement inflammables et explosifs y </w:t>
      </w:r>
      <w:proofErr w:type="gramStart"/>
      <w:r w:rsidRPr="00E12DA9">
        <w:t>assimilés</w:t>
      </w:r>
      <w:r w:rsidR="00327DA3">
        <w:t>;</w:t>
      </w:r>
      <w:proofErr w:type="gramEnd"/>
    </w:p>
    <w:p w:rsidR="008E6EDD" w:rsidRPr="00E12DA9" w:rsidRDefault="008E6EDD" w:rsidP="00866CCA">
      <w:pPr>
        <w:tabs>
          <w:tab w:val="left" w:pos="1440"/>
        </w:tabs>
      </w:pPr>
      <w:r w:rsidRPr="00E12DA9">
        <w:t>5</w:t>
      </w:r>
      <w:r w:rsidRPr="00E12DA9">
        <w:rPr>
          <w:vertAlign w:val="superscript"/>
        </w:rPr>
        <w:t>e</w:t>
      </w:r>
      <w:r w:rsidR="00866CCA">
        <w:t xml:space="preserve"> </w:t>
      </w:r>
      <w:r w:rsidR="00327DA3">
        <w:t>catégorie :</w:t>
      </w:r>
      <w:r w:rsidR="00866CCA">
        <w:tab/>
      </w:r>
      <w:r w:rsidRPr="00E12DA9">
        <w:t>nitrocelluloses humectée</w:t>
      </w:r>
      <w:r w:rsidR="00E86A14">
        <w:t>s</w:t>
      </w:r>
      <w:r w:rsidR="002241A6">
        <w:t xml:space="preserve"> à taux d'azote dépassant 12,6</w:t>
      </w:r>
      <w:r w:rsidR="00327DA3">
        <w:t>% ;</w:t>
      </w:r>
    </w:p>
    <w:p w:rsidR="008E6EDD" w:rsidRPr="00E12DA9" w:rsidRDefault="008E6EDD" w:rsidP="00866CCA">
      <w:pPr>
        <w:tabs>
          <w:tab w:val="left" w:pos="1440"/>
        </w:tabs>
      </w:pPr>
      <w:r w:rsidRPr="00E12DA9">
        <w:t>6</w:t>
      </w:r>
      <w:r w:rsidRPr="00E12DA9">
        <w:rPr>
          <w:vertAlign w:val="superscript"/>
        </w:rPr>
        <w:t>e</w:t>
      </w:r>
      <w:r w:rsidR="00866CCA">
        <w:t xml:space="preserve"> </w:t>
      </w:r>
      <w:r w:rsidR="00327DA3">
        <w:t>catégorie :</w:t>
      </w:r>
      <w:r w:rsidR="00866CCA">
        <w:tab/>
      </w:r>
      <w:r w:rsidR="0079667C" w:rsidRPr="00E12DA9">
        <w:t>nitrocelluloses humectées à taux d'azote inférieur ou</w:t>
      </w:r>
      <w:r w:rsidR="00E86A14">
        <w:t xml:space="preserve"> égal à 12,6%.</w:t>
      </w:r>
    </w:p>
    <w:p w:rsidR="0079667C" w:rsidRPr="00E12DA9" w:rsidRDefault="0079667C" w:rsidP="008E6EDD"/>
    <w:p w:rsidR="0079667C" w:rsidRPr="00E12DA9" w:rsidRDefault="0079667C" w:rsidP="0079667C">
      <w:pPr>
        <w:jc w:val="center"/>
      </w:pPr>
      <w:r w:rsidRPr="00E12DA9">
        <w:t>Classe B - Munitions</w:t>
      </w:r>
    </w:p>
    <w:p w:rsidR="0079667C" w:rsidRPr="00E12DA9" w:rsidRDefault="0079667C" w:rsidP="0079667C">
      <w:pPr>
        <w:jc w:val="center"/>
      </w:pPr>
    </w:p>
    <w:p w:rsidR="0079667C" w:rsidRPr="00E12DA9" w:rsidRDefault="0079667C" w:rsidP="00866CCA">
      <w:pPr>
        <w:tabs>
          <w:tab w:val="left" w:pos="1440"/>
        </w:tabs>
      </w:pPr>
      <w:r w:rsidRPr="00E12DA9">
        <w:t>1</w:t>
      </w:r>
      <w:r w:rsidRPr="00E12DA9">
        <w:rPr>
          <w:vertAlign w:val="superscript"/>
        </w:rPr>
        <w:t>re</w:t>
      </w:r>
      <w:r w:rsidR="00866CCA">
        <w:t xml:space="preserve"> </w:t>
      </w:r>
      <w:r w:rsidR="00327DA3">
        <w:t>catégorie :</w:t>
      </w:r>
      <w:r w:rsidR="00866CCA">
        <w:tab/>
      </w:r>
      <w:r w:rsidRPr="00E12DA9">
        <w:t xml:space="preserve">détonateurs, objets et munitions y </w:t>
      </w:r>
      <w:r w:rsidR="00327DA3" w:rsidRPr="00E12DA9">
        <w:t>assimilés ;</w:t>
      </w:r>
    </w:p>
    <w:p w:rsidR="0079667C" w:rsidRPr="00E12DA9" w:rsidRDefault="0079667C" w:rsidP="00866CCA">
      <w:pPr>
        <w:tabs>
          <w:tab w:val="left" w:pos="1440"/>
        </w:tabs>
      </w:pPr>
      <w:r w:rsidRPr="00E12DA9">
        <w:t>2</w:t>
      </w:r>
      <w:r w:rsidRPr="00E12DA9">
        <w:rPr>
          <w:vertAlign w:val="superscript"/>
        </w:rPr>
        <w:t>e</w:t>
      </w:r>
      <w:r w:rsidR="00866CCA">
        <w:t xml:space="preserve"> catégorie</w:t>
      </w:r>
      <w:r w:rsidR="00327DA3">
        <w:t> :</w:t>
      </w:r>
      <w:r w:rsidR="00866CCA">
        <w:tab/>
      </w:r>
      <w:r w:rsidRPr="00E12DA9">
        <w:t xml:space="preserve">munitions </w:t>
      </w:r>
      <w:r w:rsidR="00327DA3" w:rsidRPr="00E12DA9">
        <w:t>amorcées ;</w:t>
      </w:r>
    </w:p>
    <w:p w:rsidR="0079667C" w:rsidRPr="00E12DA9" w:rsidRDefault="0079667C" w:rsidP="00866CCA">
      <w:pPr>
        <w:tabs>
          <w:tab w:val="left" w:pos="1440"/>
        </w:tabs>
      </w:pPr>
      <w:r w:rsidRPr="00E12DA9">
        <w:t>3</w:t>
      </w:r>
      <w:r w:rsidRPr="00E12DA9">
        <w:rPr>
          <w:vertAlign w:val="superscript"/>
        </w:rPr>
        <w:t>e</w:t>
      </w:r>
      <w:r w:rsidR="00866CCA">
        <w:t xml:space="preserve"> </w:t>
      </w:r>
      <w:r w:rsidR="00327DA3">
        <w:t>catégorie :</w:t>
      </w:r>
      <w:r w:rsidR="00866CCA">
        <w:tab/>
      </w:r>
      <w:r w:rsidRPr="00E12DA9">
        <w:t xml:space="preserve">munitions non </w:t>
      </w:r>
      <w:proofErr w:type="gramStart"/>
      <w:r w:rsidRPr="00E12DA9">
        <w:t>amorcées</w:t>
      </w:r>
      <w:r w:rsidR="00327DA3">
        <w:t>;</w:t>
      </w:r>
      <w:proofErr w:type="gramEnd"/>
    </w:p>
    <w:p w:rsidR="0079667C" w:rsidRPr="00E12DA9" w:rsidRDefault="0079667C" w:rsidP="00866CCA">
      <w:pPr>
        <w:tabs>
          <w:tab w:val="left" w:pos="1440"/>
        </w:tabs>
      </w:pPr>
      <w:r w:rsidRPr="00E12DA9">
        <w:t>4</w:t>
      </w:r>
      <w:r w:rsidRPr="00E12DA9">
        <w:rPr>
          <w:vertAlign w:val="superscript"/>
        </w:rPr>
        <w:t>e</w:t>
      </w:r>
      <w:r w:rsidR="00866CCA">
        <w:t xml:space="preserve"> </w:t>
      </w:r>
      <w:r w:rsidR="00327DA3">
        <w:t>catégorie :</w:t>
      </w:r>
      <w:r w:rsidR="00866CCA">
        <w:tab/>
      </w:r>
      <w:r w:rsidRPr="00E12DA9">
        <w:t>munitions au phosphore</w:t>
      </w:r>
      <w:r w:rsidR="00327DA3">
        <w:t> ;</w:t>
      </w:r>
    </w:p>
    <w:p w:rsidR="0079667C" w:rsidRPr="00E12DA9" w:rsidRDefault="0079667C" w:rsidP="00866CCA">
      <w:pPr>
        <w:tabs>
          <w:tab w:val="left" w:pos="1440"/>
        </w:tabs>
      </w:pPr>
      <w:r w:rsidRPr="00E12DA9">
        <w:t>5</w:t>
      </w:r>
      <w:r w:rsidRPr="00E12DA9">
        <w:rPr>
          <w:vertAlign w:val="superscript"/>
        </w:rPr>
        <w:t>e</w:t>
      </w:r>
      <w:r w:rsidR="00866CCA">
        <w:t xml:space="preserve"> </w:t>
      </w:r>
      <w:r w:rsidR="00327DA3">
        <w:t>catégorie :</w:t>
      </w:r>
      <w:r w:rsidR="00866CCA">
        <w:tab/>
      </w:r>
      <w:r w:rsidRPr="00E12DA9">
        <w:t xml:space="preserve">cordeaux </w:t>
      </w:r>
      <w:r w:rsidR="00327DA3" w:rsidRPr="00E12DA9">
        <w:t>détonants ;</w:t>
      </w:r>
    </w:p>
    <w:p w:rsidR="0079667C" w:rsidRPr="00E12DA9" w:rsidRDefault="0079667C" w:rsidP="00866CCA">
      <w:pPr>
        <w:tabs>
          <w:tab w:val="left" w:pos="1440"/>
        </w:tabs>
      </w:pPr>
      <w:r w:rsidRPr="00E12DA9">
        <w:t>6</w:t>
      </w:r>
      <w:r w:rsidRPr="00E12DA9">
        <w:rPr>
          <w:vertAlign w:val="superscript"/>
        </w:rPr>
        <w:t>e</w:t>
      </w:r>
      <w:r w:rsidR="00866CCA">
        <w:t xml:space="preserve"> </w:t>
      </w:r>
      <w:r w:rsidR="00327DA3">
        <w:t>catégorie :</w:t>
      </w:r>
      <w:r w:rsidR="00866CCA">
        <w:tab/>
      </w:r>
      <w:r w:rsidRPr="00E12DA9">
        <w:t>munitions de sûreté.</w:t>
      </w:r>
    </w:p>
    <w:p w:rsidR="0079667C" w:rsidRPr="00E12DA9" w:rsidRDefault="0079667C" w:rsidP="0079667C"/>
    <w:p w:rsidR="0079667C" w:rsidRPr="00E12DA9" w:rsidRDefault="0079667C" w:rsidP="0079667C">
      <w:pPr>
        <w:jc w:val="center"/>
      </w:pPr>
      <w:r w:rsidRPr="00E12DA9">
        <w:t>Classe C - Artifices</w:t>
      </w:r>
    </w:p>
    <w:p w:rsidR="0079667C" w:rsidRPr="00E12DA9" w:rsidRDefault="0079667C" w:rsidP="0079667C">
      <w:pPr>
        <w:jc w:val="center"/>
      </w:pPr>
    </w:p>
    <w:p w:rsidR="0079667C" w:rsidRPr="00E12DA9" w:rsidRDefault="0079667C" w:rsidP="0079667C">
      <w:r w:rsidRPr="00E12DA9">
        <w:t>Les artifices sont affectés à l'un des groupes suivants, désignés par les lettres a, b, c, selon leur dest</w:t>
      </w:r>
      <w:r w:rsidR="00720FF8">
        <w:t xml:space="preserve">ination et leur degré de </w:t>
      </w:r>
      <w:r w:rsidR="00327DA3">
        <w:t>danger</w:t>
      </w:r>
      <w:r w:rsidR="00327DA3" w:rsidRPr="00E12DA9">
        <w:t xml:space="preserve"> :</w:t>
      </w:r>
    </w:p>
    <w:p w:rsidR="0079667C" w:rsidRPr="00E12DA9" w:rsidRDefault="0079667C" w:rsidP="0079667C"/>
    <w:p w:rsidR="0079667C" w:rsidRPr="00E12DA9" w:rsidRDefault="0079667C" w:rsidP="0079667C">
      <w:r w:rsidRPr="00E12DA9">
        <w:t xml:space="preserve">a) artifices de </w:t>
      </w:r>
      <w:r w:rsidR="00C45446">
        <w:t xml:space="preserve">spectacle et accessoires pour </w:t>
      </w:r>
      <w:r w:rsidR="00327DA3">
        <w:t>dito</w:t>
      </w:r>
      <w:r w:rsidR="00327DA3" w:rsidRPr="00E12DA9">
        <w:t xml:space="preserve"> ;</w:t>
      </w:r>
    </w:p>
    <w:p w:rsidR="0079667C" w:rsidRPr="00E12DA9" w:rsidRDefault="0079667C" w:rsidP="0079667C">
      <w:r w:rsidRPr="00E12DA9">
        <w:t>b) artifices de joie</w:t>
      </w:r>
      <w:r w:rsidR="00327DA3">
        <w:t> ;</w:t>
      </w:r>
    </w:p>
    <w:p w:rsidR="0079667C" w:rsidRPr="00E12DA9" w:rsidRDefault="0079667C" w:rsidP="0079667C">
      <w:r w:rsidRPr="00E12DA9">
        <w:t>c) artifices à usage technique et/ou de signalisation.</w:t>
      </w:r>
    </w:p>
    <w:p w:rsidR="0079667C" w:rsidRDefault="0079667C" w:rsidP="0079667C"/>
    <w:p w:rsidR="005749E8" w:rsidRPr="005749E8" w:rsidRDefault="00B01363" w:rsidP="00CF2DDD">
      <w:pPr>
        <w:pStyle w:val="Kop2"/>
        <w:tabs>
          <w:tab w:val="num" w:pos="709"/>
        </w:tabs>
        <w:ind w:left="709" w:hanging="709"/>
        <w:jc w:val="left"/>
      </w:pPr>
      <w:bookmarkStart w:id="28" w:name="_Toc66895220"/>
      <w:r>
        <w:t>Classement international au transport</w:t>
      </w:r>
      <w:bookmarkEnd w:id="28"/>
      <w:r w:rsidR="005749E8">
        <w:br/>
      </w:r>
    </w:p>
    <w:p w:rsidR="005749E8" w:rsidRDefault="005749E8" w:rsidP="00F51672">
      <w:r>
        <w:t xml:space="preserve">Au niveau international, le classement faisant autorité est celui élaboré par les Nations Unies et publié dans le </w:t>
      </w:r>
      <w:r w:rsidRPr="00CF2DDD">
        <w:rPr>
          <w:i/>
        </w:rPr>
        <w:t xml:space="preserve">Règlement type </w:t>
      </w:r>
      <w:r w:rsidRPr="00CF2DDD">
        <w:t>des</w:t>
      </w:r>
      <w:r w:rsidRPr="00CF2DDD">
        <w:rPr>
          <w:i/>
        </w:rPr>
        <w:t xml:space="preserve"> Recommandations relatives au transport des marchandises dangereuses</w:t>
      </w:r>
      <w:r>
        <w:t>.</w:t>
      </w:r>
    </w:p>
    <w:p w:rsidR="005749E8" w:rsidRDefault="005749E8" w:rsidP="00F51672"/>
    <w:p w:rsidR="005749E8" w:rsidRDefault="00F51672" w:rsidP="00F51672">
      <w:r w:rsidRPr="00E12DA9">
        <w:t>La comparaison</w:t>
      </w:r>
      <w:r>
        <w:t xml:space="preserve"> du classement belge au classement international au transport</w:t>
      </w:r>
      <w:r w:rsidRPr="00E12DA9">
        <w:t xml:space="preserve"> permet d'identifier les </w:t>
      </w:r>
      <w:r>
        <w:t>substances explosible</w:t>
      </w:r>
      <w:r w:rsidRPr="00E12DA9">
        <w:t xml:space="preserve">s comme étant les marchandises dangereuses relevant </w:t>
      </w:r>
      <w:r>
        <w:t>dans c</w:t>
      </w:r>
      <w:r w:rsidR="005749E8">
        <w:t>elui-ci</w:t>
      </w:r>
      <w:r>
        <w:t xml:space="preserve"> </w:t>
      </w:r>
      <w:r w:rsidRPr="00E12DA9">
        <w:t>de</w:t>
      </w:r>
      <w:r w:rsidR="005749E8">
        <w:t> :</w:t>
      </w:r>
    </w:p>
    <w:p w:rsidR="005749E8" w:rsidRDefault="00F51672" w:rsidP="009474FA">
      <w:pPr>
        <w:numPr>
          <w:ilvl w:val="0"/>
          <w:numId w:val="24"/>
        </w:numPr>
      </w:pPr>
      <w:proofErr w:type="gramStart"/>
      <w:r>
        <w:t>la</w:t>
      </w:r>
      <w:proofErr w:type="gramEnd"/>
      <w:r>
        <w:t xml:space="preserve"> classe 1</w:t>
      </w:r>
      <w:r w:rsidR="00C321C5">
        <w:t xml:space="preserve"> principalement</w:t>
      </w:r>
      <w:r w:rsidR="005749E8">
        <w:t> ;</w:t>
      </w:r>
    </w:p>
    <w:p w:rsidR="00C321C5" w:rsidRDefault="005749E8" w:rsidP="009474FA">
      <w:pPr>
        <w:numPr>
          <w:ilvl w:val="0"/>
          <w:numId w:val="24"/>
        </w:numPr>
      </w:pPr>
      <w:proofErr w:type="gramStart"/>
      <w:r>
        <w:t>de</w:t>
      </w:r>
      <w:proofErr w:type="gramEnd"/>
      <w:r w:rsidR="00F51672">
        <w:t xml:space="preserve"> certaines marchandises dangereuses relevant de</w:t>
      </w:r>
      <w:r w:rsidR="00C321C5">
        <w:t xml:space="preserve"> la</w:t>
      </w:r>
      <w:r w:rsidR="00F51672">
        <w:t xml:space="preserve"> classe </w:t>
      </w:r>
      <w:r w:rsidR="00F51672" w:rsidRPr="00E12DA9">
        <w:t xml:space="preserve">3 </w:t>
      </w:r>
      <w:r w:rsidR="00C321C5" w:rsidRPr="00E12DA9">
        <w:t xml:space="preserve">code de classification D </w:t>
      </w:r>
    </w:p>
    <w:p w:rsidR="00C321C5" w:rsidRDefault="00C321C5" w:rsidP="009474FA">
      <w:pPr>
        <w:numPr>
          <w:ilvl w:val="0"/>
          <w:numId w:val="24"/>
        </w:numPr>
      </w:pPr>
      <w:proofErr w:type="gramStart"/>
      <w:r>
        <w:t>de</w:t>
      </w:r>
      <w:proofErr w:type="gramEnd"/>
      <w:r>
        <w:t xml:space="preserve"> certaines marchandises relevant de la classe</w:t>
      </w:r>
      <w:r w:rsidR="00F51672" w:rsidRPr="00E12DA9">
        <w:t xml:space="preserve"> 4.1 code de classification D et DT, </w:t>
      </w:r>
    </w:p>
    <w:p w:rsidR="005749E8" w:rsidRDefault="00C321C5" w:rsidP="009474FA">
      <w:pPr>
        <w:numPr>
          <w:ilvl w:val="0"/>
          <w:numId w:val="24"/>
        </w:numPr>
      </w:pPr>
      <w:proofErr w:type="gramStart"/>
      <w:r>
        <w:t>d’une</w:t>
      </w:r>
      <w:proofErr w:type="gramEnd"/>
      <w:r>
        <w:t xml:space="preserve"> marchandise relevant de la classe</w:t>
      </w:r>
      <w:r w:rsidR="00F51672" w:rsidRPr="00E12DA9">
        <w:t xml:space="preserve"> 9</w:t>
      </w:r>
      <w:r>
        <w:t> :</w:t>
      </w:r>
      <w:r w:rsidR="00F51672" w:rsidRPr="00E12DA9">
        <w:t xml:space="preserve">uniquement le numéro </w:t>
      </w:r>
      <w:r w:rsidR="00F51672">
        <w:t>ONU</w:t>
      </w:r>
      <w:r w:rsidR="00F51672" w:rsidRPr="00E12DA9">
        <w:t xml:space="preserve"> 3268</w:t>
      </w:r>
      <w:r w:rsidR="005749E8">
        <w:t> ;</w:t>
      </w:r>
    </w:p>
    <w:p w:rsidR="00F51672" w:rsidRPr="00E12DA9" w:rsidRDefault="00F51672" w:rsidP="009474FA">
      <w:pPr>
        <w:numPr>
          <w:ilvl w:val="0"/>
          <w:numId w:val="24"/>
        </w:numPr>
      </w:pPr>
      <w:proofErr w:type="gramStart"/>
      <w:r w:rsidRPr="00E12DA9">
        <w:t>ainsi</w:t>
      </w:r>
      <w:proofErr w:type="gramEnd"/>
      <w:r w:rsidRPr="00E12DA9">
        <w:t xml:space="preserve"> que les matières explosives relevant du classement belge mais trop dangereuses pour être admises au transport (matières intervenant dans un processus de fabrication).</w:t>
      </w:r>
    </w:p>
    <w:p w:rsidR="005749E8" w:rsidRDefault="005749E8" w:rsidP="00752D22">
      <w:pPr>
        <w:autoSpaceDE w:val="0"/>
        <w:autoSpaceDN w:val="0"/>
        <w:adjustRightInd w:val="0"/>
        <w:jc w:val="left"/>
      </w:pPr>
      <w:bookmarkStart w:id="29" w:name="_Toc255482080"/>
      <w:bookmarkStart w:id="30" w:name="_Toc273011774"/>
      <w:bookmarkStart w:id="31" w:name="_Toc273011804"/>
      <w:bookmarkStart w:id="32" w:name="_Toc279158355"/>
    </w:p>
    <w:p w:rsidR="00147AD5" w:rsidRDefault="00147AD5" w:rsidP="00752D22">
      <w:pPr>
        <w:autoSpaceDE w:val="0"/>
        <w:autoSpaceDN w:val="0"/>
        <w:adjustRightInd w:val="0"/>
        <w:jc w:val="left"/>
        <w:rPr>
          <w:rFonts w:ascii="EUAlbertina_Bold" w:eastAsia="Calibri" w:hAnsi="EUAlbertina_Bold" w:cs="EUAlbertina_Bold"/>
          <w:b/>
          <w:bCs/>
          <w:sz w:val="19"/>
          <w:szCs w:val="19"/>
          <w:lang w:eastAsia="en-US"/>
        </w:rPr>
      </w:pPr>
    </w:p>
    <w:p w:rsidR="00147AD5" w:rsidRPr="00DF21FC" w:rsidRDefault="00147AD5" w:rsidP="00752D22">
      <w:pPr>
        <w:autoSpaceDE w:val="0"/>
        <w:autoSpaceDN w:val="0"/>
        <w:adjustRightInd w:val="0"/>
        <w:jc w:val="left"/>
        <w:rPr>
          <w:rFonts w:ascii="EUAlbertina" w:eastAsia="Calibri" w:hAnsi="EUAlbertina" w:cs="EUAlbertina"/>
          <w:sz w:val="36"/>
          <w:szCs w:val="36"/>
          <w:lang w:eastAsia="en-US"/>
        </w:rPr>
      </w:pPr>
      <w:r w:rsidRPr="00DF21FC">
        <w:rPr>
          <w:rFonts w:ascii="EUAlbertina" w:eastAsia="Calibri" w:hAnsi="EUAlbertina" w:cs="EUAlbertina"/>
          <w:sz w:val="36"/>
          <w:szCs w:val="36"/>
          <w:lang w:eastAsia="en-US"/>
        </w:rPr>
        <w:t xml:space="preserve">2.2.1 </w:t>
      </w:r>
      <w:r w:rsidR="005749E8" w:rsidRPr="00DF21FC">
        <w:rPr>
          <w:rFonts w:ascii="EUAlbertina" w:eastAsia="Calibri" w:hAnsi="EUAlbertina" w:cs="EUAlbertina"/>
          <w:sz w:val="36"/>
          <w:szCs w:val="36"/>
          <w:lang w:eastAsia="en-US"/>
        </w:rPr>
        <w:t>La classe 1</w:t>
      </w:r>
    </w:p>
    <w:p w:rsidR="00752D22" w:rsidRPr="00752D22" w:rsidRDefault="00752D22" w:rsidP="00752D22">
      <w:pPr>
        <w:autoSpaceDE w:val="0"/>
        <w:autoSpaceDN w:val="0"/>
        <w:adjustRightInd w:val="0"/>
        <w:jc w:val="left"/>
        <w:rPr>
          <w:rFonts w:ascii="EUAlbertina_Bold" w:eastAsia="Calibri" w:hAnsi="EUAlbertina_Bold" w:cs="EUAlbertina_Bold"/>
          <w:b/>
          <w:bCs/>
          <w:sz w:val="19"/>
          <w:szCs w:val="19"/>
          <w:lang w:eastAsia="en-US"/>
        </w:rPr>
      </w:pPr>
    </w:p>
    <w:p w:rsidR="007905CD" w:rsidRDefault="007905CD" w:rsidP="00752D22">
      <w:pPr>
        <w:autoSpaceDE w:val="0"/>
        <w:autoSpaceDN w:val="0"/>
        <w:adjustRightInd w:val="0"/>
        <w:jc w:val="left"/>
        <w:rPr>
          <w:lang w:val="fr-FR"/>
        </w:rPr>
      </w:pPr>
    </w:p>
    <w:p w:rsidR="00F42541" w:rsidRDefault="00F42541" w:rsidP="00CF2DDD">
      <w:pPr>
        <w:pStyle w:val="Kop4"/>
        <w:rPr>
          <w:rFonts w:eastAsia="Calibri"/>
          <w:lang w:eastAsia="en-US"/>
        </w:rPr>
      </w:pPr>
      <w:r w:rsidRPr="00F42541">
        <w:rPr>
          <w:rFonts w:eastAsia="Calibri"/>
          <w:lang w:eastAsia="en-US"/>
        </w:rPr>
        <w:t>Critères</w:t>
      </w:r>
      <w:r w:rsidR="00AA4ABC">
        <w:rPr>
          <w:rFonts w:eastAsia="Calibri"/>
          <w:lang w:eastAsia="en-US"/>
        </w:rPr>
        <w:t xml:space="preserve"> de classification</w:t>
      </w:r>
    </w:p>
    <w:p w:rsidR="00F42541" w:rsidRPr="00F42541" w:rsidRDefault="00F42541" w:rsidP="00CF2DDD">
      <w:pPr>
        <w:rPr>
          <w:rFonts w:eastAsia="Calibri"/>
          <w:lang w:eastAsia="en-US"/>
        </w:rPr>
      </w:pPr>
    </w:p>
    <w:p w:rsidR="0082047E" w:rsidRDefault="0082047E" w:rsidP="0082047E">
      <w:r>
        <w:t xml:space="preserve">La classe 1 </w:t>
      </w:r>
      <w:r w:rsidR="00327DA3">
        <w:t>comprend :</w:t>
      </w:r>
    </w:p>
    <w:p w:rsidR="0082047E" w:rsidRDefault="0082047E" w:rsidP="0082047E"/>
    <w:p w:rsidR="0082047E" w:rsidRDefault="0082047E" w:rsidP="009474FA">
      <w:pPr>
        <w:numPr>
          <w:ilvl w:val="0"/>
          <w:numId w:val="25"/>
        </w:numPr>
        <w:autoSpaceDE w:val="0"/>
        <w:autoSpaceDN w:val="0"/>
        <w:adjustRightInd w:val="0"/>
      </w:pPr>
      <w:proofErr w:type="gramStart"/>
      <w:r>
        <w:t>les</w:t>
      </w:r>
      <w:proofErr w:type="gramEnd"/>
      <w:r>
        <w:t xml:space="preserve"> matières explosibles : matières solides ou liquides (ou mélange de matières) qui sont susceptibles, par réaction chimique, de dégager des gaz à une température, à une pression et à une vitesse telles qu'il peut en résulter des dommages aux alentours.</w:t>
      </w:r>
    </w:p>
    <w:p w:rsidR="0082047E" w:rsidRDefault="0082047E" w:rsidP="0082047E">
      <w:pPr>
        <w:autoSpaceDE w:val="0"/>
        <w:autoSpaceDN w:val="0"/>
        <w:adjustRightInd w:val="0"/>
        <w:ind w:left="360"/>
      </w:pPr>
    </w:p>
    <w:p w:rsidR="0082047E" w:rsidRDefault="0082047E" w:rsidP="0082047E">
      <w:pPr>
        <w:autoSpaceDE w:val="0"/>
        <w:autoSpaceDN w:val="0"/>
        <w:adjustRightInd w:val="0"/>
        <w:ind w:left="720"/>
      </w:pPr>
      <w:proofErr w:type="gramStart"/>
      <w:r>
        <w:t>les</w:t>
      </w:r>
      <w:proofErr w:type="gramEnd"/>
      <w:r>
        <w:t xml:space="preserve"> matières pyrotechniques : matières ou mélanges de matières destinés à produire un effet calorifique, lumineux, sonore, gazeux ou fumigène ou une combinaison de tels effets, à la suite de réactions chimiques exothermiques auto-entretenues non détonantes;</w:t>
      </w:r>
    </w:p>
    <w:p w:rsidR="0082047E" w:rsidRDefault="0082047E" w:rsidP="0082047E">
      <w:pPr>
        <w:autoSpaceDE w:val="0"/>
        <w:autoSpaceDN w:val="0"/>
        <w:adjustRightInd w:val="0"/>
        <w:ind w:left="720"/>
      </w:pPr>
    </w:p>
    <w:p w:rsidR="0082047E" w:rsidRDefault="0082047E" w:rsidP="0082047E">
      <w:pPr>
        <w:autoSpaceDE w:val="0"/>
        <w:autoSpaceDN w:val="0"/>
        <w:adjustRightInd w:val="0"/>
        <w:ind w:left="720"/>
        <w:rPr>
          <w:i/>
        </w:rPr>
      </w:pPr>
      <w:r>
        <w:rPr>
          <w:i/>
        </w:rPr>
        <w:t>NOTA 1 : Les matières qui ne sont pas elles-mêmes des matières explosibles mais qui peuvent former un mélange explosif de gaz, vapeurs ou poussières, ne sont pas des matières de la classe 1.</w:t>
      </w:r>
    </w:p>
    <w:p w:rsidR="0082047E" w:rsidRDefault="0082047E" w:rsidP="0082047E">
      <w:pPr>
        <w:autoSpaceDE w:val="0"/>
        <w:autoSpaceDN w:val="0"/>
        <w:adjustRightInd w:val="0"/>
        <w:ind w:left="720"/>
        <w:rPr>
          <w:i/>
        </w:rPr>
      </w:pPr>
    </w:p>
    <w:p w:rsidR="0082047E" w:rsidRDefault="0082047E" w:rsidP="0082047E">
      <w:pPr>
        <w:autoSpaceDE w:val="0"/>
        <w:autoSpaceDN w:val="0"/>
        <w:adjustRightInd w:val="0"/>
        <w:ind w:left="720"/>
        <w:rPr>
          <w:i/>
        </w:rPr>
      </w:pPr>
      <w:r>
        <w:rPr>
          <w:i/>
        </w:rPr>
        <w:t>NOTA 2 : Sont également exclues de la classe 1 les matières explosibles mouillées à l'eau ou à l'alcool dont la teneur en eau ou en alcool dépasse les valeurs limites spécifiées et celles contenant des plastifiants - ces matières explosibles sont affectées aux classes 3 ou 4.1 - ainsi que les matières explosibles qui, sur base de leur danger principal, sont affectées à la classe 5.2.</w:t>
      </w:r>
    </w:p>
    <w:p w:rsidR="0082047E" w:rsidRDefault="0082047E" w:rsidP="0082047E">
      <w:pPr>
        <w:autoSpaceDE w:val="0"/>
        <w:autoSpaceDN w:val="0"/>
        <w:adjustRightInd w:val="0"/>
        <w:ind w:left="720"/>
      </w:pPr>
    </w:p>
    <w:p w:rsidR="0082047E" w:rsidRDefault="0082047E" w:rsidP="009474FA">
      <w:pPr>
        <w:numPr>
          <w:ilvl w:val="0"/>
          <w:numId w:val="25"/>
        </w:numPr>
        <w:autoSpaceDE w:val="0"/>
        <w:autoSpaceDN w:val="0"/>
        <w:adjustRightInd w:val="0"/>
      </w:pPr>
      <w:proofErr w:type="gramStart"/>
      <w:r>
        <w:t>les</w:t>
      </w:r>
      <w:proofErr w:type="gramEnd"/>
      <w:r>
        <w:t xml:space="preserve"> objets explosibles : objets contenant une ou plusieurs matières explosibles ou pyrotechniques.</w:t>
      </w:r>
    </w:p>
    <w:p w:rsidR="0082047E" w:rsidRDefault="0082047E" w:rsidP="0082047E">
      <w:pPr>
        <w:autoSpaceDE w:val="0"/>
        <w:autoSpaceDN w:val="0"/>
        <w:adjustRightInd w:val="0"/>
        <w:ind w:left="360"/>
      </w:pPr>
    </w:p>
    <w:p w:rsidR="0082047E" w:rsidRDefault="0082047E" w:rsidP="0082047E">
      <w:pPr>
        <w:autoSpaceDE w:val="0"/>
        <w:autoSpaceDN w:val="0"/>
        <w:adjustRightInd w:val="0"/>
        <w:ind w:left="720"/>
        <w:rPr>
          <w:i/>
        </w:rPr>
      </w:pPr>
      <w:r>
        <w:rPr>
          <w:i/>
        </w:rPr>
        <w:t>NOTA : Les engins contenant des matières explosibles ou pyrotechniques en quantité si faible ou d'une nature telle que leur mise à feu ou leur amorçage par inadvertance ou par accident au cours du transport n'entraînerait aucune manifestation extérieure à l'engin se traduisant par des projections, un incendie, un dégagement de fumée ou de chaleur ou un bruit fort, ne sont pas soumis aux prescriptions de la classe 1.</w:t>
      </w:r>
    </w:p>
    <w:p w:rsidR="0082047E" w:rsidRDefault="0082047E" w:rsidP="0082047E">
      <w:pPr>
        <w:autoSpaceDE w:val="0"/>
        <w:autoSpaceDN w:val="0"/>
        <w:adjustRightInd w:val="0"/>
        <w:ind w:left="360"/>
      </w:pPr>
    </w:p>
    <w:p w:rsidR="0082047E" w:rsidRDefault="0082047E" w:rsidP="009474FA">
      <w:pPr>
        <w:numPr>
          <w:ilvl w:val="0"/>
          <w:numId w:val="25"/>
        </w:numPr>
        <w:autoSpaceDE w:val="0"/>
        <w:autoSpaceDN w:val="0"/>
        <w:adjustRightInd w:val="0"/>
      </w:pPr>
      <w:proofErr w:type="gramStart"/>
      <w:r>
        <w:t>les</w:t>
      </w:r>
      <w:proofErr w:type="gramEnd"/>
      <w:r>
        <w:t xml:space="preserve"> matières et objets non mentionnés sous a) ou b), qui sont fabriqués en vue de produire un effet pratique par explosion ou à des fins pyrotechniques.</w:t>
      </w:r>
    </w:p>
    <w:p w:rsidR="0082047E" w:rsidRDefault="0082047E" w:rsidP="0082047E"/>
    <w:p w:rsidR="0082047E" w:rsidRDefault="0082047E" w:rsidP="00DF21FC">
      <w:pPr>
        <w:pStyle w:val="Kop4"/>
      </w:pPr>
      <w:r>
        <w:t>Les divisions</w:t>
      </w:r>
    </w:p>
    <w:p w:rsidR="0082047E" w:rsidRDefault="0082047E" w:rsidP="0082047E"/>
    <w:p w:rsidR="0082047E" w:rsidRDefault="0082047E" w:rsidP="0082047E">
      <w:r>
        <w:t>La classe 1 de la classification ONU répartit les produits explosifs dans six divisions en fonction de la nature des effets principaux redoutés et de la sensibilité du produit. Ce classement établi au départ pour le transport est également largement utilisé par les normes et règlements régissant le stockage.</w:t>
      </w:r>
    </w:p>
    <w:p w:rsidR="0082047E" w:rsidRDefault="0082047E" w:rsidP="0082047E"/>
    <w:p w:rsidR="0082047E" w:rsidRDefault="0082047E" w:rsidP="00C32C53">
      <w:pPr>
        <w:numPr>
          <w:ilvl w:val="0"/>
          <w:numId w:val="26"/>
        </w:numPr>
        <w:ind w:left="2280" w:hanging="1920"/>
      </w:pPr>
      <w:r>
        <w:t>Division 1.1:</w:t>
      </w:r>
      <w:r>
        <w:tab/>
        <w:t xml:space="preserve">Matières et objets présentant un </w:t>
      </w:r>
      <w:r w:rsidR="00426A0B">
        <w:t>danger</w:t>
      </w:r>
      <w:r>
        <w:t xml:space="preserve"> d'explosion en masse (une explosion "en masse" est une explosion qui affecte presque instantanément la quasi-totalité du chargement)</w:t>
      </w:r>
      <w:r w:rsidR="00327DA3">
        <w:t> ;</w:t>
      </w:r>
    </w:p>
    <w:p w:rsidR="0082047E" w:rsidRDefault="0082047E" w:rsidP="0082047E"/>
    <w:p w:rsidR="0082047E" w:rsidRDefault="0082047E" w:rsidP="00C32C53">
      <w:pPr>
        <w:numPr>
          <w:ilvl w:val="0"/>
          <w:numId w:val="26"/>
        </w:numPr>
        <w:ind w:left="2280" w:hanging="1920"/>
      </w:pPr>
      <w:r>
        <w:t>Division 1.2:</w:t>
      </w:r>
      <w:r>
        <w:tab/>
        <w:t xml:space="preserve">Matières et objets présentant un </w:t>
      </w:r>
      <w:r w:rsidR="00426A0B">
        <w:t>danger</w:t>
      </w:r>
      <w:r>
        <w:t xml:space="preserve"> de projection, sans </w:t>
      </w:r>
      <w:r w:rsidR="00426A0B">
        <w:t>danger</w:t>
      </w:r>
      <w:r>
        <w:t xml:space="preserve"> d'explosion en </w:t>
      </w:r>
      <w:r w:rsidR="00327DA3">
        <w:t>masse ;</w:t>
      </w:r>
    </w:p>
    <w:p w:rsidR="0082047E" w:rsidRDefault="0082047E" w:rsidP="0082047E"/>
    <w:p w:rsidR="0082047E" w:rsidRDefault="0082047E" w:rsidP="00C32C53">
      <w:pPr>
        <w:numPr>
          <w:ilvl w:val="0"/>
          <w:numId w:val="26"/>
        </w:numPr>
        <w:ind w:left="2280" w:hanging="1920"/>
        <w:jc w:val="left"/>
      </w:pPr>
      <w:r>
        <w:t>Division 1.3:</w:t>
      </w:r>
      <w:r>
        <w:tab/>
        <w:t xml:space="preserve">Matières et objets présentant un </w:t>
      </w:r>
      <w:r w:rsidR="00426A0B">
        <w:t>danger</w:t>
      </w:r>
      <w:r>
        <w:t xml:space="preserve"> d'incendie avec un </w:t>
      </w:r>
      <w:r w:rsidR="00426A0B">
        <w:t>danger</w:t>
      </w:r>
      <w:r>
        <w:t xml:space="preserve"> léger de souffle, ou de projection, ou des deux, sans </w:t>
      </w:r>
      <w:r w:rsidR="00426A0B">
        <w:t>danger</w:t>
      </w:r>
      <w:r>
        <w:t xml:space="preserve"> d'explosion en masse. </w:t>
      </w:r>
      <w:r>
        <w:br/>
      </w:r>
      <w:r>
        <w:br/>
        <w:t>Cette division comprend les matières et objets :</w:t>
      </w:r>
      <w:r>
        <w:br/>
      </w:r>
      <w:r>
        <w:br/>
        <w:t xml:space="preserve">i) dont la combustion produit un rayonnement thermique </w:t>
      </w:r>
      <w:r w:rsidR="00327DA3">
        <w:t>intense ;</w:t>
      </w:r>
      <w:r>
        <w:br/>
        <w:t>ou</w:t>
      </w:r>
      <w:r>
        <w:br/>
        <w:t xml:space="preserve">ii) qui brûlent les uns après les autres avec de légers effets de souffle, ou de projection, ou des </w:t>
      </w:r>
      <w:r w:rsidR="00327DA3">
        <w:t>deux ;</w:t>
      </w:r>
    </w:p>
    <w:p w:rsidR="0082047E" w:rsidRDefault="0082047E" w:rsidP="0082047E"/>
    <w:p w:rsidR="0082047E" w:rsidRDefault="0082047E" w:rsidP="00C32C53">
      <w:pPr>
        <w:numPr>
          <w:ilvl w:val="0"/>
          <w:numId w:val="26"/>
        </w:numPr>
        <w:ind w:left="2280" w:hanging="1920"/>
      </w:pPr>
      <w:r>
        <w:t>Division 1.4:</w:t>
      </w:r>
      <w:r>
        <w:tab/>
        <w:t xml:space="preserve">Matières et objets ne présentant qu'un danger mineur en cas de mise à feu ou d'amorçage. Les effets sont essentiellement limités au colis et ne donnent pas lieu normalement à la projection de fragments de taille notable ou à une distance notable. Un incendie extérieur ne doit pas entraîner l'explosion pratiquement instantanée de la quasi-totalité du contenu du </w:t>
      </w:r>
      <w:r w:rsidR="00327DA3">
        <w:t>colis ;</w:t>
      </w:r>
    </w:p>
    <w:p w:rsidR="0082047E" w:rsidRDefault="0082047E" w:rsidP="0082047E"/>
    <w:p w:rsidR="0082047E" w:rsidRDefault="0082047E" w:rsidP="00C32C53">
      <w:pPr>
        <w:numPr>
          <w:ilvl w:val="0"/>
          <w:numId w:val="26"/>
        </w:numPr>
        <w:ind w:left="2280" w:hanging="1920"/>
      </w:pPr>
      <w:r>
        <w:t xml:space="preserve">Division 1.5: </w:t>
      </w:r>
      <w:r>
        <w:tab/>
        <w:t xml:space="preserve">Matières très peu sensibles comportant un </w:t>
      </w:r>
      <w:r w:rsidR="00426A0B">
        <w:t>danger</w:t>
      </w:r>
      <w:r>
        <w:t xml:space="preserve"> d'explosion en masse, dont la sensibilité est telle que, dans les conditions normales de transport, il n'y a qu'une très faible probabilité d'amorçage ou de passage de la combustion à </w:t>
      </w:r>
      <w:smartTag w:uri="urn:schemas-microsoft-com:office:smarttags" w:element="PersonName">
        <w:smartTagPr>
          <w:attr w:name="ProductID" w:val="la d￩tonation. La"/>
        </w:smartTagPr>
        <w:r>
          <w:t>la détonation. La</w:t>
        </w:r>
      </w:smartTag>
      <w:r>
        <w:t xml:space="preserve"> prescription minimale est qu'elles ne doivent pas exploser lors de l'épreuve de feu extérieur.</w:t>
      </w:r>
    </w:p>
    <w:p w:rsidR="0082047E" w:rsidRDefault="0082047E" w:rsidP="0082047E"/>
    <w:p w:rsidR="0082047E" w:rsidRDefault="0082047E" w:rsidP="00C32C53">
      <w:pPr>
        <w:numPr>
          <w:ilvl w:val="0"/>
          <w:numId w:val="26"/>
        </w:numPr>
        <w:ind w:left="2280" w:hanging="1920"/>
      </w:pPr>
      <w:r>
        <w:t>Division 1.6:</w:t>
      </w:r>
      <w:r>
        <w:tab/>
        <w:t xml:space="preserve">Objets extrêmement peu sensibles ne comportant pas de </w:t>
      </w:r>
      <w:r w:rsidR="00426A0B">
        <w:t>danger</w:t>
      </w:r>
      <w:r>
        <w:t xml:space="preserve"> d'explosion en masse. Ces objets ne contiennent que des matières détonantes extrêmement peu sensibles et présentent une probabilité négligeable d'amorçage </w:t>
      </w:r>
      <w:r w:rsidR="009D5B88">
        <w:t xml:space="preserve">et </w:t>
      </w:r>
      <w:r>
        <w:t>de propagation accidentels.</w:t>
      </w:r>
      <w:r>
        <w:br/>
      </w:r>
      <w:r>
        <w:br/>
      </w:r>
      <w:r>
        <w:rPr>
          <w:i/>
        </w:rPr>
        <w:t xml:space="preserve">NOTA : Le </w:t>
      </w:r>
      <w:r w:rsidR="00426A0B">
        <w:rPr>
          <w:i/>
        </w:rPr>
        <w:t>danger</w:t>
      </w:r>
      <w:r>
        <w:rPr>
          <w:i/>
        </w:rPr>
        <w:t xml:space="preserve"> lié aux objets de la division 1.6 est limité à l'explosion d'un objet unique.</w:t>
      </w:r>
    </w:p>
    <w:p w:rsidR="0082047E" w:rsidRDefault="0082047E" w:rsidP="0082047E"/>
    <w:p w:rsidR="0082047E" w:rsidRDefault="0082047E" w:rsidP="0082047E"/>
    <w:p w:rsidR="0082047E" w:rsidRDefault="0082047E" w:rsidP="0082047E"/>
    <w:p w:rsidR="0082047E" w:rsidRDefault="0082047E" w:rsidP="00CC24EC">
      <w:pPr>
        <w:pStyle w:val="Kop4"/>
        <w:numPr>
          <w:ilvl w:val="3"/>
          <w:numId w:val="20"/>
        </w:numPr>
        <w:ind w:left="851" w:hanging="851"/>
      </w:pPr>
      <w:r>
        <w:t>Groupes de compatibilité</w:t>
      </w:r>
    </w:p>
    <w:p w:rsidR="0082047E" w:rsidRDefault="0082047E" w:rsidP="0082047E"/>
    <w:p w:rsidR="0082047E" w:rsidRDefault="0082047E" w:rsidP="0082047E">
      <w:r>
        <w:t xml:space="preserve">Des explosifs sont compatibles s’ils peuvent être stockés ensemble sans augmenter significativement la probabilité d’un accident ou l’amplitude des effets d’un accident. Les explosifs sont rassemblés en treize groupes de </w:t>
      </w:r>
      <w:r w:rsidR="00327DA3">
        <w:t>compatibilité :</w:t>
      </w:r>
    </w:p>
    <w:p w:rsidR="0082047E" w:rsidRDefault="0082047E" w:rsidP="0082047E"/>
    <w:p w:rsidR="0082047E" w:rsidRDefault="00327DA3" w:rsidP="0082047E">
      <w:pPr>
        <w:ind w:left="360" w:hanging="360"/>
      </w:pPr>
      <w:r>
        <w:t>A :</w:t>
      </w:r>
      <w:r w:rsidR="0082047E">
        <w:tab/>
        <w:t>Matière explosible primaire.</w:t>
      </w:r>
    </w:p>
    <w:p w:rsidR="0082047E" w:rsidRDefault="0082047E" w:rsidP="0082047E"/>
    <w:p w:rsidR="0082047E" w:rsidRDefault="00327DA3" w:rsidP="0082047E">
      <w:pPr>
        <w:ind w:left="360" w:hanging="360"/>
      </w:pPr>
      <w:r>
        <w:t>B :</w:t>
      </w:r>
      <w:r w:rsidR="0082047E">
        <w:tab/>
        <w:t>Objet contenant une matière explosible primaire et ayant moins de deux dispositifs de sécurité efficaces. Quelques objets tels que les détonateurs de mine (de sautage), les assemblages de détonateurs de mine (de sautage) et les amorces à percussion sont compris, bien qu’ils ne contiennent pas d’explosifs primaires.</w:t>
      </w:r>
    </w:p>
    <w:p w:rsidR="0082047E" w:rsidRDefault="0082047E" w:rsidP="0082047E"/>
    <w:p w:rsidR="0082047E" w:rsidRDefault="00327DA3" w:rsidP="0082047E">
      <w:pPr>
        <w:ind w:left="360" w:hanging="360"/>
      </w:pPr>
      <w:r>
        <w:t>C :</w:t>
      </w:r>
      <w:r w:rsidR="0082047E">
        <w:tab/>
        <w:t>Matière explosible propulsive ou autre matière explosible déflagrante ou objet contenant une telle matière explosible.</w:t>
      </w:r>
    </w:p>
    <w:p w:rsidR="0082047E" w:rsidRDefault="0082047E" w:rsidP="0082047E"/>
    <w:p w:rsidR="0082047E" w:rsidRDefault="00327DA3" w:rsidP="0082047E">
      <w:pPr>
        <w:ind w:left="360" w:hanging="360"/>
      </w:pPr>
      <w:r>
        <w:t>D :</w:t>
      </w:r>
      <w:r w:rsidR="0082047E">
        <w:tab/>
        <w:t>Matière explosible secondaire détonante ou poudre noire ou objet contenant une matière explosible détonante, dans tous les cas sans moyen d’amorçage ni charge propulsive, ou objet contenant une matière explosible primaire et ayant au moins deux dispositifs de sécurité efficaces.</w:t>
      </w:r>
    </w:p>
    <w:p w:rsidR="0082047E" w:rsidRDefault="0082047E" w:rsidP="0082047E"/>
    <w:p w:rsidR="0082047E" w:rsidRDefault="00327DA3" w:rsidP="0082047E">
      <w:pPr>
        <w:ind w:left="360" w:hanging="360"/>
      </w:pPr>
      <w:r>
        <w:t>E :</w:t>
      </w:r>
      <w:r w:rsidR="0082047E">
        <w:tab/>
        <w:t>Objet contenant une matière explosible secondaire détonante, sans moyen d’amorçage, avec charge propulsive (autre qu’une charge contenant un liquide ou un gel inflammable ou des liquides hypergoliques).</w:t>
      </w:r>
    </w:p>
    <w:p w:rsidR="0082047E" w:rsidRDefault="0082047E" w:rsidP="0082047E"/>
    <w:p w:rsidR="0082047E" w:rsidRDefault="00327DA3" w:rsidP="0082047E">
      <w:pPr>
        <w:ind w:left="360" w:hanging="360"/>
      </w:pPr>
      <w:r>
        <w:t>F :</w:t>
      </w:r>
      <w:r w:rsidR="0082047E">
        <w:tab/>
        <w:t>Objet contenant une matière explosible secondaire détonante, avec ses moyens propres d’amorçage, avec une charge propulsive (autre qu’une charge contenant un liquide ou un gel inflammable ou des liquides hypergoliques) ou sans charge propulsive.</w:t>
      </w:r>
    </w:p>
    <w:p w:rsidR="0082047E" w:rsidRDefault="0082047E" w:rsidP="0082047E"/>
    <w:p w:rsidR="0082047E" w:rsidRDefault="00327DA3" w:rsidP="0082047E">
      <w:pPr>
        <w:ind w:left="360" w:hanging="360"/>
      </w:pPr>
      <w:r>
        <w:t>G :</w:t>
      </w:r>
      <w:r w:rsidR="0082047E">
        <w:tab/>
        <w:t xml:space="preserve">Matière pyrotechnique ou objet contenant une matière pyrotechnique ou objet contenant à la fois une matière explosible et une composition éclairante, incendiaire, lacrymogène ou fumigène (autre qu’un objet </w:t>
      </w:r>
      <w:proofErr w:type="spellStart"/>
      <w:r w:rsidR="0082047E">
        <w:t>hydroactif</w:t>
      </w:r>
      <w:proofErr w:type="spellEnd"/>
      <w:r w:rsidR="0082047E">
        <w:t xml:space="preserve"> ou contenant du phosphore blanc, des phosphures, une matière pyrophorique, un liquide ou un gel inflammable ou des liquides hypergoliques).</w:t>
      </w:r>
    </w:p>
    <w:p w:rsidR="0082047E" w:rsidRDefault="0082047E" w:rsidP="0082047E"/>
    <w:p w:rsidR="0082047E" w:rsidRDefault="00327DA3" w:rsidP="0082047E">
      <w:pPr>
        <w:ind w:left="360" w:hanging="360"/>
      </w:pPr>
      <w:r>
        <w:t>H :</w:t>
      </w:r>
      <w:r w:rsidR="0082047E">
        <w:tab/>
        <w:t>Objet contenant à la fois une matière explosible et du phosphore blanc.</w:t>
      </w:r>
    </w:p>
    <w:p w:rsidR="0082047E" w:rsidRDefault="0082047E" w:rsidP="0082047E"/>
    <w:p w:rsidR="0082047E" w:rsidRDefault="00327DA3" w:rsidP="0082047E">
      <w:pPr>
        <w:ind w:left="360" w:hanging="360"/>
      </w:pPr>
      <w:r>
        <w:t>J :</w:t>
      </w:r>
      <w:r w:rsidR="0082047E">
        <w:tab/>
        <w:t>Objet contenant à la fois une matière explosible et un liquide ou un gel inflammable.</w:t>
      </w:r>
    </w:p>
    <w:p w:rsidR="0082047E" w:rsidRDefault="0082047E" w:rsidP="0082047E"/>
    <w:p w:rsidR="0082047E" w:rsidRDefault="00327DA3" w:rsidP="0082047E">
      <w:pPr>
        <w:ind w:left="360" w:hanging="360"/>
      </w:pPr>
      <w:r>
        <w:t>K :</w:t>
      </w:r>
      <w:r w:rsidR="0082047E">
        <w:tab/>
        <w:t>Objet contenant à la fois une matière explosible et un agent chimique toxique.</w:t>
      </w:r>
    </w:p>
    <w:p w:rsidR="0082047E" w:rsidRDefault="0082047E" w:rsidP="0082047E"/>
    <w:p w:rsidR="0082047E" w:rsidRDefault="00327DA3" w:rsidP="0082047E">
      <w:pPr>
        <w:ind w:left="360" w:hanging="360"/>
      </w:pPr>
      <w:r>
        <w:t>L :</w:t>
      </w:r>
      <w:r w:rsidR="0082047E">
        <w:tab/>
        <w:t xml:space="preserve">Matière explosible, ou objet contenant une matière explosible et présentant un </w:t>
      </w:r>
      <w:r w:rsidR="00426A0B">
        <w:t>danger</w:t>
      </w:r>
      <w:r w:rsidR="0082047E">
        <w:t xml:space="preserve"> particulier (par exemple en raison de son </w:t>
      </w:r>
      <w:proofErr w:type="spellStart"/>
      <w:r w:rsidR="0082047E">
        <w:t>hydroactivité</w:t>
      </w:r>
      <w:proofErr w:type="spellEnd"/>
      <w:r w:rsidR="0082047E">
        <w:t xml:space="preserve"> ou de la présence de liquides hypergoliques, de phosphures ou d’une matière pyrophorique) et exigeant l’isolement de chaque type.</w:t>
      </w:r>
    </w:p>
    <w:p w:rsidR="0082047E" w:rsidRDefault="0082047E" w:rsidP="0082047E"/>
    <w:p w:rsidR="0082047E" w:rsidRDefault="00327DA3" w:rsidP="0082047E">
      <w:pPr>
        <w:ind w:left="360" w:hanging="360"/>
      </w:pPr>
      <w:r>
        <w:t>N :</w:t>
      </w:r>
      <w:r w:rsidR="0082047E">
        <w:tab/>
        <w:t>Objets ne contenant que des matières détonantes extrêmement peu sensibles.</w:t>
      </w:r>
    </w:p>
    <w:p w:rsidR="0082047E" w:rsidRDefault="0082047E" w:rsidP="0082047E"/>
    <w:p w:rsidR="0082047E" w:rsidRDefault="00327DA3" w:rsidP="0082047E">
      <w:pPr>
        <w:ind w:left="360" w:hanging="360"/>
      </w:pPr>
      <w:r>
        <w:t>S :</w:t>
      </w:r>
      <w:r w:rsidR="0082047E">
        <w:tab/>
        <w:t>Matière ou objet emballé conçu de façon à limiter à l’intérieur du colis tout effet dangereux dû à un fonctionnement accidentel à moins que l’emballage n’ait été détérioré par le feu, auquel cas tous les effets de souffle et de projection sont suffisamment réduits pour ne pas gêner de manière appréciable ou empêcher la lutte contre l’incendie et l’application d’autres mesures d’urgence au voisinage immédiat du colis.</w:t>
      </w:r>
    </w:p>
    <w:p w:rsidR="0082047E" w:rsidRDefault="0082047E" w:rsidP="0082047E"/>
    <w:p w:rsidR="0082047E" w:rsidRDefault="0082047E" w:rsidP="0082047E"/>
    <w:p w:rsidR="0082047E" w:rsidRDefault="0082047E" w:rsidP="009474FA">
      <w:pPr>
        <w:pStyle w:val="Kop4"/>
        <w:numPr>
          <w:ilvl w:val="3"/>
          <w:numId w:val="20"/>
        </w:numPr>
        <w:ind w:left="851" w:hanging="851"/>
      </w:pPr>
      <w:r>
        <w:t>Stockage en commun</w:t>
      </w:r>
    </w:p>
    <w:p w:rsidR="0082047E" w:rsidRDefault="0082047E" w:rsidP="0082047E"/>
    <w:p w:rsidR="0082047E" w:rsidRDefault="0082047E" w:rsidP="0082047E">
      <w:r>
        <w:t>Si des explosifs de différentes divisions sont stockés ensemble, il convient de considérer la totalité du stockage de la manière suivante</w:t>
      </w:r>
      <w:r w:rsidR="009F5F67">
        <w:t xml:space="preserve"> </w:t>
      </w:r>
      <w:r w:rsidR="00F6661A">
        <w:t>(</w:t>
      </w:r>
      <w:r w:rsidR="00B035FC" w:rsidRPr="009F5F67">
        <w:t>AASTP-1 Edition B Version 1, décembre 2015</w:t>
      </w:r>
      <w:r w:rsidR="00F6661A">
        <w:t xml:space="preserve">). </w:t>
      </w:r>
    </w:p>
    <w:p w:rsidR="002372DC" w:rsidRDefault="002372DC" w:rsidP="00021D3F"/>
    <w:p w:rsidR="0082047E" w:rsidRDefault="00F65F6E" w:rsidP="0082047E">
      <w:r w:rsidRPr="00A60483">
        <w:rPr>
          <w:noProof/>
        </w:rPr>
        <w:pict>
          <v:shape id="Image 1" o:spid="_x0000_i1027" type="#_x0000_t75" style="width:437.25pt;height:207pt;visibility:visible">
            <v:imagedata r:id="rId21" o:title="" croptop="17155f" cropbottom="7903f" cropleft="3582f" cropright="13974f"/>
          </v:shape>
        </w:pict>
      </w:r>
    </w:p>
    <w:p w:rsidR="005651C2" w:rsidRDefault="005651C2" w:rsidP="005651C2">
      <w:pPr>
        <w:jc w:val="center"/>
      </w:pPr>
    </w:p>
    <w:p w:rsidR="00F65F6E" w:rsidRPr="003A4C1A" w:rsidRDefault="00B035FC" w:rsidP="0082047E">
      <w:pPr>
        <w:rPr>
          <w:sz w:val="16"/>
          <w:szCs w:val="16"/>
        </w:rPr>
      </w:pPr>
      <w:r w:rsidRPr="003A4C1A">
        <w:rPr>
          <w:sz w:val="16"/>
          <w:szCs w:val="16"/>
        </w:rPr>
        <w:t>Note :</w:t>
      </w:r>
    </w:p>
    <w:p w:rsidR="00B035FC" w:rsidRPr="003A4C1A" w:rsidRDefault="00B035FC" w:rsidP="0082047E">
      <w:pPr>
        <w:rPr>
          <w:sz w:val="16"/>
          <w:szCs w:val="16"/>
        </w:rPr>
      </w:pPr>
    </w:p>
    <w:p w:rsidR="005E2D85" w:rsidRPr="003A4C1A" w:rsidRDefault="005E2D85" w:rsidP="005E2D85">
      <w:pPr>
        <w:rPr>
          <w:sz w:val="16"/>
          <w:szCs w:val="16"/>
        </w:rPr>
      </w:pPr>
      <w:r w:rsidRPr="003A4C1A">
        <w:rPr>
          <w:sz w:val="16"/>
          <w:szCs w:val="16"/>
        </w:rPr>
        <w:t>1) Sélectionnez l</w:t>
      </w:r>
      <w:r w:rsidR="00DB6AF5" w:rsidRPr="003A4C1A">
        <w:rPr>
          <w:sz w:val="16"/>
          <w:szCs w:val="16"/>
        </w:rPr>
        <w:t>a</w:t>
      </w:r>
      <w:r w:rsidRPr="003A4C1A">
        <w:rPr>
          <w:sz w:val="16"/>
          <w:szCs w:val="16"/>
        </w:rPr>
        <w:t xml:space="preserve"> plus grand</w:t>
      </w:r>
      <w:r w:rsidR="00DB6AF5" w:rsidRPr="003A4C1A">
        <w:rPr>
          <w:sz w:val="16"/>
          <w:szCs w:val="16"/>
        </w:rPr>
        <w:t>e</w:t>
      </w:r>
      <w:r w:rsidRPr="003A4C1A">
        <w:rPr>
          <w:sz w:val="16"/>
          <w:szCs w:val="16"/>
        </w:rPr>
        <w:t xml:space="preserve"> </w:t>
      </w:r>
      <w:r w:rsidR="00DB6AF5" w:rsidRPr="003A4C1A">
        <w:rPr>
          <w:sz w:val="16"/>
          <w:szCs w:val="16"/>
        </w:rPr>
        <w:t xml:space="preserve">distance </w:t>
      </w:r>
      <w:r w:rsidRPr="003A4C1A">
        <w:rPr>
          <w:sz w:val="16"/>
          <w:szCs w:val="16"/>
        </w:rPr>
        <w:t xml:space="preserve">QD </w:t>
      </w:r>
      <w:r w:rsidR="00DB6AF5" w:rsidRPr="003A4C1A">
        <w:rPr>
          <w:sz w:val="16"/>
          <w:szCs w:val="16"/>
        </w:rPr>
        <w:t>selon les</w:t>
      </w:r>
      <w:r w:rsidRPr="003A4C1A">
        <w:rPr>
          <w:sz w:val="16"/>
          <w:szCs w:val="16"/>
        </w:rPr>
        <w:t xml:space="preserve"> configurations </w:t>
      </w:r>
      <w:r w:rsidR="007B6AF0" w:rsidRPr="003A4C1A">
        <w:rPr>
          <w:sz w:val="16"/>
          <w:szCs w:val="16"/>
        </w:rPr>
        <w:t>suivantes :</w:t>
      </w:r>
    </w:p>
    <w:p w:rsidR="005E2D85" w:rsidRPr="003A4C1A" w:rsidRDefault="005E2D85" w:rsidP="009F5F67">
      <w:pPr>
        <w:ind w:firstLine="720"/>
        <w:rPr>
          <w:sz w:val="16"/>
          <w:szCs w:val="16"/>
        </w:rPr>
      </w:pPr>
      <w:r w:rsidRPr="003A4C1A">
        <w:rPr>
          <w:sz w:val="16"/>
          <w:szCs w:val="16"/>
        </w:rPr>
        <w:t xml:space="preserve">a) additionner le NEQ pour les produits </w:t>
      </w:r>
      <w:r w:rsidR="00DB6AF5" w:rsidRPr="003A4C1A">
        <w:rPr>
          <w:sz w:val="16"/>
          <w:szCs w:val="16"/>
        </w:rPr>
        <w:t>de la division</w:t>
      </w:r>
      <w:r w:rsidRPr="003A4C1A">
        <w:rPr>
          <w:sz w:val="16"/>
          <w:szCs w:val="16"/>
        </w:rPr>
        <w:t xml:space="preserve"> 1.1 ou 1.5 et les produits </w:t>
      </w:r>
      <w:r w:rsidR="00DB6AF5" w:rsidRPr="003A4C1A">
        <w:rPr>
          <w:sz w:val="16"/>
          <w:szCs w:val="16"/>
        </w:rPr>
        <w:t>de la division</w:t>
      </w:r>
      <w:r w:rsidRPr="003A4C1A">
        <w:rPr>
          <w:sz w:val="16"/>
          <w:szCs w:val="16"/>
        </w:rPr>
        <w:t xml:space="preserve"> 1.2 et les traiter comme des produits </w:t>
      </w:r>
      <w:r w:rsidR="00DB6AF5" w:rsidRPr="003A4C1A">
        <w:rPr>
          <w:sz w:val="16"/>
          <w:szCs w:val="16"/>
        </w:rPr>
        <w:t>de la division</w:t>
      </w:r>
      <w:r w:rsidRPr="003A4C1A">
        <w:rPr>
          <w:sz w:val="16"/>
          <w:szCs w:val="16"/>
        </w:rPr>
        <w:t xml:space="preserve"> 1.1.</w:t>
      </w:r>
    </w:p>
    <w:p w:rsidR="005E2D85" w:rsidRPr="003A4C1A" w:rsidRDefault="005E2D85" w:rsidP="009F5F67">
      <w:pPr>
        <w:ind w:firstLine="720"/>
        <w:rPr>
          <w:sz w:val="16"/>
          <w:szCs w:val="16"/>
        </w:rPr>
      </w:pPr>
      <w:r w:rsidRPr="003A4C1A">
        <w:rPr>
          <w:sz w:val="16"/>
          <w:szCs w:val="16"/>
        </w:rPr>
        <w:t xml:space="preserve">b) considérer </w:t>
      </w:r>
      <w:r w:rsidR="00DB6AF5" w:rsidRPr="003A4C1A">
        <w:rPr>
          <w:sz w:val="16"/>
          <w:szCs w:val="16"/>
        </w:rPr>
        <w:t>uniquement</w:t>
      </w:r>
      <w:r w:rsidRPr="003A4C1A">
        <w:rPr>
          <w:sz w:val="16"/>
          <w:szCs w:val="16"/>
        </w:rPr>
        <w:t xml:space="preserve"> le NEQ </w:t>
      </w:r>
      <w:r w:rsidR="00DB6AF5" w:rsidRPr="003A4C1A">
        <w:rPr>
          <w:sz w:val="16"/>
          <w:szCs w:val="16"/>
        </w:rPr>
        <w:t>d</w:t>
      </w:r>
      <w:r w:rsidRPr="003A4C1A">
        <w:rPr>
          <w:sz w:val="16"/>
          <w:szCs w:val="16"/>
        </w:rPr>
        <w:t xml:space="preserve">es produits </w:t>
      </w:r>
      <w:r w:rsidR="00DB6AF5" w:rsidRPr="003A4C1A">
        <w:rPr>
          <w:sz w:val="16"/>
          <w:szCs w:val="16"/>
        </w:rPr>
        <w:t>de la division</w:t>
      </w:r>
      <w:r w:rsidRPr="003A4C1A">
        <w:rPr>
          <w:sz w:val="16"/>
          <w:szCs w:val="16"/>
        </w:rPr>
        <w:t xml:space="preserve"> 1.2 et appliquer les critères appropriés à </w:t>
      </w:r>
      <w:r w:rsidR="00DB6AF5" w:rsidRPr="003A4C1A">
        <w:rPr>
          <w:sz w:val="16"/>
          <w:szCs w:val="16"/>
        </w:rPr>
        <w:t>cette division</w:t>
      </w:r>
      <w:r w:rsidRPr="003A4C1A">
        <w:rPr>
          <w:sz w:val="16"/>
          <w:szCs w:val="16"/>
        </w:rPr>
        <w:t xml:space="preserve"> 1.2.</w:t>
      </w:r>
    </w:p>
    <w:p w:rsidR="005E2D85" w:rsidRPr="003A4C1A" w:rsidRDefault="005E2D85" w:rsidP="005E2D85">
      <w:pPr>
        <w:rPr>
          <w:sz w:val="16"/>
          <w:szCs w:val="16"/>
        </w:rPr>
      </w:pPr>
      <w:r w:rsidRPr="003A4C1A">
        <w:rPr>
          <w:sz w:val="16"/>
          <w:szCs w:val="16"/>
        </w:rPr>
        <w:t xml:space="preserve">2) Le NEQ du mélange est le NEQ de la sous-division nécessitant </w:t>
      </w:r>
      <w:r w:rsidR="007B6AF0" w:rsidRPr="003A4C1A">
        <w:rPr>
          <w:sz w:val="16"/>
          <w:szCs w:val="16"/>
        </w:rPr>
        <w:t xml:space="preserve">la </w:t>
      </w:r>
      <w:r w:rsidRPr="003A4C1A">
        <w:rPr>
          <w:sz w:val="16"/>
          <w:szCs w:val="16"/>
        </w:rPr>
        <w:t>plus grand</w:t>
      </w:r>
      <w:r w:rsidR="00DB6AF5" w:rsidRPr="003A4C1A">
        <w:rPr>
          <w:sz w:val="16"/>
          <w:szCs w:val="16"/>
        </w:rPr>
        <w:t>e</w:t>
      </w:r>
      <w:r w:rsidRPr="003A4C1A">
        <w:rPr>
          <w:sz w:val="16"/>
          <w:szCs w:val="16"/>
        </w:rPr>
        <w:t xml:space="preserve"> </w:t>
      </w:r>
      <w:r w:rsidR="00DB6AF5" w:rsidRPr="003A4C1A">
        <w:rPr>
          <w:sz w:val="16"/>
          <w:szCs w:val="16"/>
        </w:rPr>
        <w:t xml:space="preserve">distance </w:t>
      </w:r>
      <w:r w:rsidRPr="003A4C1A">
        <w:rPr>
          <w:sz w:val="16"/>
          <w:szCs w:val="16"/>
        </w:rPr>
        <w:t xml:space="preserve">QD. </w:t>
      </w:r>
      <w:r w:rsidR="00DB6AF5" w:rsidRPr="003A4C1A">
        <w:rPr>
          <w:sz w:val="16"/>
          <w:szCs w:val="16"/>
        </w:rPr>
        <w:t>Ne pas additionner les NEQ des</w:t>
      </w:r>
      <w:r w:rsidRPr="003A4C1A">
        <w:rPr>
          <w:sz w:val="16"/>
          <w:szCs w:val="16"/>
        </w:rPr>
        <w:t xml:space="preserve"> différents </w:t>
      </w:r>
      <w:r w:rsidR="00DB6AF5" w:rsidRPr="003A4C1A">
        <w:rPr>
          <w:sz w:val="16"/>
          <w:szCs w:val="16"/>
        </w:rPr>
        <w:t>sous-divisions</w:t>
      </w:r>
      <w:r w:rsidRPr="003A4C1A">
        <w:rPr>
          <w:sz w:val="16"/>
          <w:szCs w:val="16"/>
        </w:rPr>
        <w:t xml:space="preserve"> présent</w:t>
      </w:r>
      <w:r w:rsidR="00DB6AF5" w:rsidRPr="003A4C1A">
        <w:rPr>
          <w:sz w:val="16"/>
          <w:szCs w:val="16"/>
        </w:rPr>
        <w:t>e</w:t>
      </w:r>
      <w:r w:rsidRPr="003A4C1A">
        <w:rPr>
          <w:sz w:val="16"/>
          <w:szCs w:val="16"/>
        </w:rPr>
        <w:t>s, mais déterminer l</w:t>
      </w:r>
      <w:r w:rsidR="00DB6AF5" w:rsidRPr="003A4C1A">
        <w:rPr>
          <w:sz w:val="16"/>
          <w:szCs w:val="16"/>
        </w:rPr>
        <w:t xml:space="preserve">a distance </w:t>
      </w:r>
      <w:r w:rsidRPr="003A4C1A">
        <w:rPr>
          <w:sz w:val="16"/>
          <w:szCs w:val="16"/>
        </w:rPr>
        <w:t>pour chacun</w:t>
      </w:r>
      <w:r w:rsidR="00DB6AF5" w:rsidRPr="003A4C1A">
        <w:rPr>
          <w:sz w:val="16"/>
          <w:szCs w:val="16"/>
        </w:rPr>
        <w:t>e</w:t>
      </w:r>
      <w:r w:rsidRPr="003A4C1A">
        <w:rPr>
          <w:sz w:val="16"/>
          <w:szCs w:val="16"/>
        </w:rPr>
        <w:t xml:space="preserve"> individuellement.</w:t>
      </w:r>
    </w:p>
    <w:p w:rsidR="005E2D85" w:rsidRPr="003A4C1A" w:rsidRDefault="005E2D85" w:rsidP="005E2D85">
      <w:pPr>
        <w:rPr>
          <w:sz w:val="16"/>
          <w:szCs w:val="16"/>
        </w:rPr>
      </w:pPr>
      <w:r w:rsidRPr="003A4C1A">
        <w:rPr>
          <w:sz w:val="16"/>
          <w:szCs w:val="16"/>
        </w:rPr>
        <w:t xml:space="preserve">3) </w:t>
      </w:r>
      <w:r w:rsidR="00DB6AF5" w:rsidRPr="003A4C1A">
        <w:rPr>
          <w:sz w:val="16"/>
          <w:szCs w:val="16"/>
        </w:rPr>
        <w:t>Les produits de la division</w:t>
      </w:r>
      <w:r w:rsidRPr="003A4C1A">
        <w:rPr>
          <w:sz w:val="16"/>
          <w:szCs w:val="16"/>
        </w:rPr>
        <w:t xml:space="preserve"> 1.4 peu</w:t>
      </w:r>
      <w:r w:rsidR="00DB6AF5" w:rsidRPr="003A4C1A">
        <w:rPr>
          <w:sz w:val="16"/>
          <w:szCs w:val="16"/>
        </w:rPr>
        <w:t>ven</w:t>
      </w:r>
      <w:r w:rsidRPr="003A4C1A">
        <w:rPr>
          <w:sz w:val="16"/>
          <w:szCs w:val="16"/>
        </w:rPr>
        <w:t>t être stocké</w:t>
      </w:r>
      <w:r w:rsidR="00DB6AF5" w:rsidRPr="003A4C1A">
        <w:rPr>
          <w:sz w:val="16"/>
          <w:szCs w:val="16"/>
        </w:rPr>
        <w:t>s</w:t>
      </w:r>
      <w:r w:rsidRPr="003A4C1A">
        <w:rPr>
          <w:sz w:val="16"/>
          <w:szCs w:val="16"/>
        </w:rPr>
        <w:t xml:space="preserve"> avec n'importe quel</w:t>
      </w:r>
      <w:r w:rsidR="00DB6AF5" w:rsidRPr="003A4C1A">
        <w:rPr>
          <w:sz w:val="16"/>
          <w:szCs w:val="16"/>
        </w:rPr>
        <w:t>le</w:t>
      </w:r>
      <w:r w:rsidRPr="003A4C1A">
        <w:rPr>
          <w:sz w:val="16"/>
          <w:szCs w:val="16"/>
        </w:rPr>
        <w:t xml:space="preserve"> autre </w:t>
      </w:r>
      <w:r w:rsidR="00DB6AF5" w:rsidRPr="003A4C1A">
        <w:rPr>
          <w:sz w:val="16"/>
          <w:szCs w:val="16"/>
        </w:rPr>
        <w:t>division</w:t>
      </w:r>
      <w:r w:rsidRPr="003A4C1A">
        <w:rPr>
          <w:sz w:val="16"/>
          <w:szCs w:val="16"/>
        </w:rPr>
        <w:t xml:space="preserve"> sans </w:t>
      </w:r>
      <w:r w:rsidR="00DB6AF5" w:rsidRPr="003A4C1A">
        <w:rPr>
          <w:sz w:val="16"/>
          <w:szCs w:val="16"/>
        </w:rPr>
        <w:t xml:space="preserve">additionner les </w:t>
      </w:r>
      <w:r w:rsidRPr="003A4C1A">
        <w:rPr>
          <w:sz w:val="16"/>
          <w:szCs w:val="16"/>
        </w:rPr>
        <w:t>NEQ.</w:t>
      </w:r>
    </w:p>
    <w:p w:rsidR="005E2D85" w:rsidRPr="003A4C1A" w:rsidRDefault="005E2D85" w:rsidP="005E2D85">
      <w:pPr>
        <w:rPr>
          <w:sz w:val="16"/>
          <w:szCs w:val="16"/>
        </w:rPr>
      </w:pPr>
      <w:r w:rsidRPr="003A4C1A">
        <w:rPr>
          <w:sz w:val="16"/>
          <w:szCs w:val="16"/>
        </w:rPr>
        <w:t>4) Traite</w:t>
      </w:r>
      <w:r w:rsidR="00DB6AF5" w:rsidRPr="003A4C1A">
        <w:rPr>
          <w:sz w:val="16"/>
          <w:szCs w:val="16"/>
        </w:rPr>
        <w:t>r</w:t>
      </w:r>
      <w:r w:rsidRPr="003A4C1A">
        <w:rPr>
          <w:sz w:val="16"/>
          <w:szCs w:val="16"/>
        </w:rPr>
        <w:t xml:space="preserve"> le</w:t>
      </w:r>
      <w:r w:rsidR="00DB6AF5" w:rsidRPr="003A4C1A">
        <w:rPr>
          <w:sz w:val="16"/>
          <w:szCs w:val="16"/>
        </w:rPr>
        <w:t>s produits de la division</w:t>
      </w:r>
      <w:r w:rsidRPr="003A4C1A">
        <w:rPr>
          <w:sz w:val="16"/>
          <w:szCs w:val="16"/>
        </w:rPr>
        <w:t xml:space="preserve"> 1.6 comme</w:t>
      </w:r>
      <w:r w:rsidR="00DB6AF5" w:rsidRPr="003A4C1A">
        <w:rPr>
          <w:sz w:val="16"/>
          <w:szCs w:val="16"/>
        </w:rPr>
        <w:t xml:space="preserve"> des produits de la sous-division</w:t>
      </w:r>
      <w:r w:rsidRPr="003A4C1A">
        <w:rPr>
          <w:sz w:val="16"/>
          <w:szCs w:val="16"/>
        </w:rPr>
        <w:t xml:space="preserve"> 1.2.3 et applique</w:t>
      </w:r>
      <w:r w:rsidR="00DB6AF5" w:rsidRPr="003A4C1A">
        <w:rPr>
          <w:sz w:val="16"/>
          <w:szCs w:val="16"/>
        </w:rPr>
        <w:t>r</w:t>
      </w:r>
      <w:r w:rsidRPr="003A4C1A">
        <w:rPr>
          <w:sz w:val="16"/>
          <w:szCs w:val="16"/>
        </w:rPr>
        <w:t xml:space="preserve"> la Note 2.</w:t>
      </w:r>
    </w:p>
    <w:p w:rsidR="005E2D85" w:rsidRPr="003A4C1A" w:rsidRDefault="005E2D85" w:rsidP="005E2D85">
      <w:pPr>
        <w:rPr>
          <w:sz w:val="16"/>
          <w:szCs w:val="16"/>
        </w:rPr>
      </w:pPr>
      <w:r w:rsidRPr="003A4C1A">
        <w:rPr>
          <w:sz w:val="16"/>
          <w:szCs w:val="16"/>
        </w:rPr>
        <w:t>5) Additionn</w:t>
      </w:r>
      <w:r w:rsidR="004B63B3" w:rsidRPr="003A4C1A">
        <w:rPr>
          <w:sz w:val="16"/>
          <w:szCs w:val="16"/>
        </w:rPr>
        <w:t>er</w:t>
      </w:r>
      <w:r w:rsidRPr="003A4C1A">
        <w:rPr>
          <w:sz w:val="16"/>
          <w:szCs w:val="16"/>
        </w:rPr>
        <w:t xml:space="preserve"> le</w:t>
      </w:r>
      <w:r w:rsidR="004B63B3" w:rsidRPr="003A4C1A">
        <w:rPr>
          <w:sz w:val="16"/>
          <w:szCs w:val="16"/>
        </w:rPr>
        <w:t>s</w:t>
      </w:r>
      <w:r w:rsidRPr="003A4C1A">
        <w:rPr>
          <w:sz w:val="16"/>
          <w:szCs w:val="16"/>
        </w:rPr>
        <w:t xml:space="preserve"> NEQ et utilis</w:t>
      </w:r>
      <w:r w:rsidR="004B63B3" w:rsidRPr="003A4C1A">
        <w:rPr>
          <w:sz w:val="16"/>
          <w:szCs w:val="16"/>
        </w:rPr>
        <w:t>er</w:t>
      </w:r>
      <w:r w:rsidRPr="003A4C1A">
        <w:rPr>
          <w:sz w:val="16"/>
          <w:szCs w:val="16"/>
        </w:rPr>
        <w:t xml:space="preserve"> l</w:t>
      </w:r>
      <w:r w:rsidR="004B63B3" w:rsidRPr="003A4C1A">
        <w:rPr>
          <w:sz w:val="16"/>
          <w:szCs w:val="16"/>
        </w:rPr>
        <w:t>a</w:t>
      </w:r>
      <w:r w:rsidRPr="003A4C1A">
        <w:rPr>
          <w:sz w:val="16"/>
          <w:szCs w:val="16"/>
        </w:rPr>
        <w:t xml:space="preserve"> plus grand</w:t>
      </w:r>
      <w:r w:rsidR="004B63B3" w:rsidRPr="003A4C1A">
        <w:rPr>
          <w:sz w:val="16"/>
          <w:szCs w:val="16"/>
        </w:rPr>
        <w:t>e distance</w:t>
      </w:r>
      <w:r w:rsidRPr="003A4C1A">
        <w:rPr>
          <w:sz w:val="16"/>
          <w:szCs w:val="16"/>
        </w:rPr>
        <w:t xml:space="preserve"> QD associé</w:t>
      </w:r>
      <w:r w:rsidR="004B63B3" w:rsidRPr="003A4C1A">
        <w:rPr>
          <w:sz w:val="16"/>
          <w:szCs w:val="16"/>
        </w:rPr>
        <w:t>e</w:t>
      </w:r>
      <w:r w:rsidRPr="003A4C1A">
        <w:rPr>
          <w:sz w:val="16"/>
          <w:szCs w:val="16"/>
        </w:rPr>
        <w:t xml:space="preserve"> </w:t>
      </w:r>
      <w:r w:rsidR="009B3441" w:rsidRPr="003A4C1A">
        <w:rPr>
          <w:sz w:val="16"/>
          <w:szCs w:val="16"/>
        </w:rPr>
        <w:t xml:space="preserve">aux configurations </w:t>
      </w:r>
      <w:r w:rsidR="007B6AF0" w:rsidRPr="003A4C1A">
        <w:rPr>
          <w:sz w:val="16"/>
          <w:szCs w:val="16"/>
        </w:rPr>
        <w:t>suivantes :</w:t>
      </w:r>
    </w:p>
    <w:p w:rsidR="005E2D85" w:rsidRPr="003A4C1A" w:rsidRDefault="005E2D85" w:rsidP="009F5F67">
      <w:pPr>
        <w:ind w:firstLine="720"/>
        <w:rPr>
          <w:sz w:val="16"/>
          <w:szCs w:val="16"/>
        </w:rPr>
      </w:pPr>
      <w:r w:rsidRPr="003A4C1A">
        <w:rPr>
          <w:sz w:val="16"/>
          <w:szCs w:val="16"/>
        </w:rPr>
        <w:t xml:space="preserve">a) Traiter comme </w:t>
      </w:r>
      <w:r w:rsidR="009B3441" w:rsidRPr="003A4C1A">
        <w:rPr>
          <w:sz w:val="16"/>
          <w:szCs w:val="16"/>
        </w:rPr>
        <w:t xml:space="preserve">la sous-division </w:t>
      </w:r>
      <w:r w:rsidRPr="003A4C1A">
        <w:rPr>
          <w:sz w:val="16"/>
          <w:szCs w:val="16"/>
        </w:rPr>
        <w:t>1.3.1.</w:t>
      </w:r>
    </w:p>
    <w:p w:rsidR="005E2D85" w:rsidRPr="003A4C1A" w:rsidRDefault="005E2D85" w:rsidP="009F5F67">
      <w:pPr>
        <w:ind w:firstLine="720"/>
        <w:rPr>
          <w:sz w:val="16"/>
          <w:szCs w:val="16"/>
        </w:rPr>
      </w:pPr>
      <w:r w:rsidRPr="003A4C1A">
        <w:rPr>
          <w:sz w:val="16"/>
          <w:szCs w:val="16"/>
        </w:rPr>
        <w:t xml:space="preserve">b) Traiter comme </w:t>
      </w:r>
      <w:r w:rsidR="009B3441" w:rsidRPr="003A4C1A">
        <w:rPr>
          <w:sz w:val="16"/>
          <w:szCs w:val="16"/>
        </w:rPr>
        <w:t>la sous-division</w:t>
      </w:r>
      <w:r w:rsidRPr="003A4C1A">
        <w:rPr>
          <w:sz w:val="16"/>
          <w:szCs w:val="16"/>
        </w:rPr>
        <w:t xml:space="preserve"> 1.3.2.</w:t>
      </w:r>
    </w:p>
    <w:p w:rsidR="00B035FC" w:rsidRPr="003A4C1A" w:rsidRDefault="005E2D85" w:rsidP="00B035FC">
      <w:pPr>
        <w:rPr>
          <w:sz w:val="16"/>
          <w:szCs w:val="16"/>
        </w:rPr>
      </w:pPr>
      <w:r w:rsidRPr="003A4C1A">
        <w:rPr>
          <w:sz w:val="16"/>
          <w:szCs w:val="16"/>
        </w:rPr>
        <w:t xml:space="preserve">6) Il existe un risque important que dans certaines circonstances, un mélange de </w:t>
      </w:r>
      <w:r w:rsidR="004B63B3" w:rsidRPr="003A4C1A">
        <w:rPr>
          <w:sz w:val="16"/>
          <w:szCs w:val="16"/>
        </w:rPr>
        <w:t xml:space="preserve">produits issus des sous-divisions </w:t>
      </w:r>
      <w:r w:rsidRPr="003A4C1A">
        <w:rPr>
          <w:sz w:val="16"/>
          <w:szCs w:val="16"/>
        </w:rPr>
        <w:t xml:space="preserve">1.2.1 </w:t>
      </w:r>
      <w:r w:rsidR="004B63B3" w:rsidRPr="003A4C1A">
        <w:rPr>
          <w:sz w:val="16"/>
          <w:szCs w:val="16"/>
        </w:rPr>
        <w:t xml:space="preserve">et 1.2.2 </w:t>
      </w:r>
      <w:r w:rsidRPr="003A4C1A">
        <w:rPr>
          <w:sz w:val="16"/>
          <w:szCs w:val="16"/>
        </w:rPr>
        <w:t>et</w:t>
      </w:r>
      <w:r w:rsidR="004B63B3" w:rsidRPr="003A4C1A">
        <w:rPr>
          <w:sz w:val="16"/>
          <w:szCs w:val="16"/>
        </w:rPr>
        <w:t xml:space="preserve"> de la division </w:t>
      </w:r>
      <w:r w:rsidRPr="003A4C1A">
        <w:rPr>
          <w:sz w:val="16"/>
          <w:szCs w:val="16"/>
        </w:rPr>
        <w:t xml:space="preserve">1.3 se comportent comme une quantité </w:t>
      </w:r>
      <w:r w:rsidR="004B63B3" w:rsidRPr="003A4C1A">
        <w:rPr>
          <w:sz w:val="16"/>
          <w:szCs w:val="16"/>
        </w:rPr>
        <w:t>équivalente de HD</w:t>
      </w:r>
      <w:r w:rsidRPr="003A4C1A">
        <w:rPr>
          <w:sz w:val="16"/>
          <w:szCs w:val="16"/>
        </w:rPr>
        <w:t xml:space="preserve"> 1.1.</w:t>
      </w:r>
      <w:r w:rsidR="00B035FC" w:rsidRPr="003A4C1A">
        <w:rPr>
          <w:sz w:val="16"/>
          <w:szCs w:val="16"/>
        </w:rPr>
        <w:t xml:space="preserve"> </w:t>
      </w:r>
    </w:p>
    <w:p w:rsidR="00B035FC" w:rsidRPr="003A4C1A" w:rsidRDefault="00B035FC" w:rsidP="00B035FC">
      <w:pPr>
        <w:rPr>
          <w:sz w:val="16"/>
          <w:szCs w:val="16"/>
        </w:rPr>
      </w:pPr>
    </w:p>
    <w:p w:rsidR="00B035FC" w:rsidRPr="003A4C1A" w:rsidRDefault="00B035FC" w:rsidP="00B035FC">
      <w:pPr>
        <w:rPr>
          <w:sz w:val="16"/>
          <w:szCs w:val="16"/>
        </w:rPr>
      </w:pPr>
      <w:r w:rsidRPr="003A4C1A">
        <w:rPr>
          <w:sz w:val="16"/>
          <w:szCs w:val="16"/>
        </w:rPr>
        <w:t>Si une des circonstances suivantes est remplie, l’ensemble doit être considéré comme du 1.1 :</w:t>
      </w:r>
    </w:p>
    <w:p w:rsidR="00B035FC" w:rsidRPr="003A4C1A" w:rsidRDefault="00B035FC" w:rsidP="00B035FC">
      <w:pPr>
        <w:numPr>
          <w:ilvl w:val="0"/>
          <w:numId w:val="27"/>
        </w:numPr>
        <w:rPr>
          <w:sz w:val="16"/>
          <w:szCs w:val="16"/>
        </w:rPr>
      </w:pPr>
      <w:r w:rsidRPr="003A4C1A">
        <w:rPr>
          <w:sz w:val="16"/>
          <w:szCs w:val="16"/>
        </w:rPr>
        <w:t>La présence de charge creuse de division 1.2 ;</w:t>
      </w:r>
    </w:p>
    <w:p w:rsidR="00B035FC" w:rsidRPr="003A4C1A" w:rsidRDefault="00B035FC" w:rsidP="00B035FC">
      <w:pPr>
        <w:numPr>
          <w:ilvl w:val="0"/>
          <w:numId w:val="27"/>
        </w:numPr>
        <w:rPr>
          <w:sz w:val="16"/>
          <w:szCs w:val="16"/>
        </w:rPr>
      </w:pPr>
      <w:r w:rsidRPr="003A4C1A">
        <w:rPr>
          <w:sz w:val="16"/>
          <w:szCs w:val="16"/>
        </w:rPr>
        <w:t>Des propergols à haute énergie ;</w:t>
      </w:r>
    </w:p>
    <w:p w:rsidR="00B035FC" w:rsidRPr="003A4C1A" w:rsidRDefault="00B035FC" w:rsidP="00B035FC">
      <w:pPr>
        <w:numPr>
          <w:ilvl w:val="0"/>
          <w:numId w:val="27"/>
        </w:numPr>
        <w:rPr>
          <w:sz w:val="16"/>
          <w:szCs w:val="16"/>
        </w:rPr>
      </w:pPr>
      <w:r w:rsidRPr="003A4C1A">
        <w:rPr>
          <w:sz w:val="16"/>
          <w:szCs w:val="16"/>
        </w:rPr>
        <w:t>De hautes densités de produits 1.3 dans des conditions de confinement important ;</w:t>
      </w:r>
    </w:p>
    <w:p w:rsidR="00B035FC" w:rsidRPr="003A4C1A" w:rsidRDefault="00B035FC" w:rsidP="00B035FC">
      <w:pPr>
        <w:numPr>
          <w:ilvl w:val="0"/>
          <w:numId w:val="27"/>
        </w:numPr>
        <w:rPr>
          <w:sz w:val="16"/>
          <w:szCs w:val="16"/>
        </w:rPr>
      </w:pPr>
      <w:r w:rsidRPr="003A4C1A">
        <w:rPr>
          <w:sz w:val="16"/>
          <w:szCs w:val="16"/>
        </w:rPr>
        <w:t xml:space="preserve">Des articles de division 1.2 avec un NEQ individuel supérieur à </w:t>
      </w:r>
      <w:smartTag w:uri="urn:schemas-microsoft-com:office:smarttags" w:element="metricconverter">
        <w:smartTagPr>
          <w:attr w:name="ProductID" w:val="5 kg"/>
        </w:smartTagPr>
        <w:r w:rsidRPr="003A4C1A">
          <w:rPr>
            <w:sz w:val="16"/>
            <w:szCs w:val="16"/>
          </w:rPr>
          <w:t>5 kg</w:t>
        </w:r>
      </w:smartTag>
      <w:r w:rsidRPr="003A4C1A">
        <w:rPr>
          <w:sz w:val="16"/>
          <w:szCs w:val="16"/>
        </w:rPr>
        <w:t>.</w:t>
      </w:r>
    </w:p>
    <w:p w:rsidR="00F65F6E" w:rsidRPr="009B3441" w:rsidRDefault="00F65F6E" w:rsidP="005E2D85"/>
    <w:p w:rsidR="003A4C1A" w:rsidRDefault="003A4C1A" w:rsidP="0082047E"/>
    <w:p w:rsidR="003A4C1A" w:rsidRDefault="003A4C1A" w:rsidP="0082047E"/>
    <w:p w:rsidR="003A4C1A" w:rsidRDefault="003A4C1A" w:rsidP="0082047E"/>
    <w:p w:rsidR="003A4C1A" w:rsidRDefault="003A4C1A" w:rsidP="0082047E"/>
    <w:p w:rsidR="0082047E" w:rsidRPr="0058667C" w:rsidRDefault="0082047E" w:rsidP="0082047E">
      <w:r>
        <w:t>Les articles de différents groupes de compatibilité peuvent être stockés en commun de la manière suivante</w:t>
      </w:r>
      <w:r w:rsidR="002372DC">
        <w:t xml:space="preserve"> (</w:t>
      </w:r>
      <w:r w:rsidR="00E0768E" w:rsidRPr="0058667C">
        <w:t>AASTP-1 Edition B Version 1, décembre 2015</w:t>
      </w:r>
      <w:r w:rsidR="002372DC">
        <w:t>)</w:t>
      </w:r>
      <w:r w:rsidR="0058667C">
        <w:t xml:space="preserve"> </w:t>
      </w:r>
      <w:r>
        <w:t>:</w:t>
      </w:r>
    </w:p>
    <w:p w:rsidR="003A4C1A" w:rsidRDefault="003A4C1A" w:rsidP="00E0768E">
      <w:pPr>
        <w:rPr>
          <w:noProof/>
        </w:rPr>
      </w:pPr>
    </w:p>
    <w:p w:rsidR="003A4C1A" w:rsidRDefault="003A4C1A" w:rsidP="00E0768E">
      <w:pPr>
        <w:rPr>
          <w:noProof/>
        </w:rPr>
      </w:pPr>
      <w:r>
        <w:rPr>
          <w:noProof/>
        </w:rPr>
        <w:pict>
          <v:shape id="_x0000_i1028" type="#_x0000_t75" style="width:439.5pt;height:263.25pt">
            <v:imagedata r:id="rId22" o:title="2021-03-18 14_30_04-Photos"/>
          </v:shape>
        </w:pict>
      </w:r>
    </w:p>
    <w:p w:rsidR="003A4C1A" w:rsidRPr="003A4C1A" w:rsidRDefault="00E0768E" w:rsidP="00E0768E">
      <w:pPr>
        <w:rPr>
          <w:sz w:val="16"/>
          <w:szCs w:val="16"/>
        </w:rPr>
      </w:pPr>
      <w:r w:rsidRPr="003A4C1A">
        <w:rPr>
          <w:sz w:val="16"/>
          <w:szCs w:val="16"/>
        </w:rPr>
        <w:t>X = Stockage en commun permis</w:t>
      </w:r>
    </w:p>
    <w:p w:rsidR="00E0768E" w:rsidRPr="003A4C1A" w:rsidRDefault="00E0768E" w:rsidP="00021D3F">
      <w:pPr>
        <w:jc w:val="center"/>
        <w:rPr>
          <w:sz w:val="16"/>
          <w:szCs w:val="16"/>
        </w:rPr>
      </w:pPr>
    </w:p>
    <w:p w:rsidR="003A4C1A" w:rsidRPr="003A4C1A" w:rsidRDefault="003A4C1A" w:rsidP="003A4C1A">
      <w:pPr>
        <w:ind w:left="1134" w:hanging="1134"/>
        <w:rPr>
          <w:sz w:val="16"/>
          <w:szCs w:val="16"/>
        </w:rPr>
      </w:pPr>
      <w:r w:rsidRPr="003A4C1A">
        <w:rPr>
          <w:sz w:val="16"/>
          <w:szCs w:val="16"/>
        </w:rPr>
        <w:t>NOTE 1</w:t>
      </w:r>
      <w:r w:rsidRPr="003A4C1A">
        <w:rPr>
          <w:sz w:val="16"/>
          <w:szCs w:val="16"/>
        </w:rPr>
        <w:tab/>
        <w:t>Les fusées du Groupe de Compatibilité B peuvent être entreposées avec les objets sur lesquels elles seront assemblées, mais la Quantité Nette d'Explosifs (QNE) doit être agrégée et traitée comme du Groupe de Compatibilité F.</w:t>
      </w:r>
    </w:p>
    <w:p w:rsidR="003A4C1A" w:rsidRPr="003A4C1A" w:rsidRDefault="003A4C1A" w:rsidP="003A4C1A">
      <w:pPr>
        <w:ind w:left="1134" w:hanging="1134"/>
        <w:rPr>
          <w:sz w:val="16"/>
          <w:szCs w:val="16"/>
        </w:rPr>
      </w:pPr>
      <w:r w:rsidRPr="003A4C1A">
        <w:rPr>
          <w:sz w:val="16"/>
          <w:szCs w:val="16"/>
        </w:rPr>
        <w:t>NOTE 2</w:t>
      </w:r>
      <w:r w:rsidRPr="003A4C1A">
        <w:rPr>
          <w:sz w:val="16"/>
          <w:szCs w:val="16"/>
        </w:rPr>
        <w:tab/>
        <w:t>L'entreposage dans le même bâtiment peut être autorisé s'il est bien isolé pour empêcher la propagation.</w:t>
      </w:r>
    </w:p>
    <w:p w:rsidR="003A4C1A" w:rsidRPr="003A4C1A" w:rsidRDefault="003A4C1A" w:rsidP="003A4C1A">
      <w:pPr>
        <w:ind w:left="1134" w:hanging="1134"/>
        <w:rPr>
          <w:sz w:val="16"/>
          <w:szCs w:val="16"/>
        </w:rPr>
      </w:pPr>
      <w:r w:rsidRPr="003A4C1A">
        <w:rPr>
          <w:sz w:val="16"/>
          <w:szCs w:val="16"/>
        </w:rPr>
        <w:t xml:space="preserve">NOTE 3 </w:t>
      </w:r>
      <w:r w:rsidRPr="003A4C1A">
        <w:rPr>
          <w:sz w:val="16"/>
          <w:szCs w:val="16"/>
        </w:rPr>
        <w:tab/>
        <w:t>Le Mixage d'articles du Groupe de Compatibilité G avec des articles d'autres groupes de compatibilité est laissé à la discrétion de l'Autorité Nationale Compétente.</w:t>
      </w:r>
    </w:p>
    <w:p w:rsidR="003A4C1A" w:rsidRPr="003A4C1A" w:rsidRDefault="003A4C1A" w:rsidP="003A4C1A">
      <w:pPr>
        <w:ind w:left="1134" w:hanging="1134"/>
        <w:rPr>
          <w:sz w:val="16"/>
          <w:szCs w:val="16"/>
        </w:rPr>
      </w:pPr>
      <w:r w:rsidRPr="003A4C1A">
        <w:rPr>
          <w:sz w:val="16"/>
          <w:szCs w:val="16"/>
        </w:rPr>
        <w:t xml:space="preserve">NOTE 4 </w:t>
      </w:r>
      <w:r w:rsidRPr="003A4C1A">
        <w:rPr>
          <w:sz w:val="16"/>
          <w:szCs w:val="16"/>
        </w:rPr>
        <w:tab/>
        <w:t>Les articles du Groupe de Compatibilité N ne devraient généralement pas être stockés avec des articles appartenant à d'autres groupes de compatibilité, à l'exception du groupe S. Toutefois, si ces articles sont stockés avec des articles des groupes de compatibilité C, D et E, les articles du groupe de compatibilité N devraient être considérés comme ayant les caractéristiques du groupe de compatibilité D et les règles de Mixage des groupes de compatibilité sont applicables en conséquence.</w:t>
      </w:r>
    </w:p>
    <w:p w:rsidR="003A4C1A" w:rsidRPr="003A4C1A" w:rsidRDefault="003A4C1A" w:rsidP="003A4C1A">
      <w:pPr>
        <w:ind w:left="1134" w:hanging="1134"/>
        <w:rPr>
          <w:sz w:val="16"/>
          <w:szCs w:val="16"/>
        </w:rPr>
      </w:pPr>
      <w:r w:rsidRPr="003A4C1A">
        <w:rPr>
          <w:sz w:val="16"/>
          <w:szCs w:val="16"/>
        </w:rPr>
        <w:t xml:space="preserve">NOTE 5 </w:t>
      </w:r>
      <w:r w:rsidRPr="003A4C1A">
        <w:rPr>
          <w:sz w:val="16"/>
          <w:szCs w:val="16"/>
        </w:rPr>
        <w:tab/>
        <w:t>Les articles du Groupe de Compatibilité L doivent toujours être stockés séparément de tous les articles d'autres groupes de compatibilité ainsi que de tous les autres articles de différents types du groupe de compatibilité L.</w:t>
      </w:r>
    </w:p>
    <w:p w:rsidR="003A4C1A" w:rsidRPr="003A4C1A" w:rsidRDefault="003A4C1A" w:rsidP="003A4C1A">
      <w:pPr>
        <w:ind w:left="1134" w:hanging="1134"/>
        <w:rPr>
          <w:sz w:val="16"/>
          <w:szCs w:val="16"/>
        </w:rPr>
      </w:pPr>
      <w:r w:rsidRPr="003A4C1A">
        <w:rPr>
          <w:sz w:val="16"/>
          <w:szCs w:val="16"/>
        </w:rPr>
        <w:t xml:space="preserve">NOTE 6 </w:t>
      </w:r>
      <w:r w:rsidRPr="003A4C1A">
        <w:rPr>
          <w:sz w:val="16"/>
          <w:szCs w:val="16"/>
        </w:rPr>
        <w:tab/>
        <w:t xml:space="preserve">Il est permis de </w:t>
      </w:r>
      <w:proofErr w:type="spellStart"/>
      <w:r w:rsidRPr="003A4C1A">
        <w:rPr>
          <w:sz w:val="16"/>
          <w:szCs w:val="16"/>
        </w:rPr>
        <w:t>Mixager</w:t>
      </w:r>
      <w:proofErr w:type="spellEnd"/>
      <w:r w:rsidRPr="003A4C1A">
        <w:rPr>
          <w:sz w:val="16"/>
          <w:szCs w:val="16"/>
        </w:rPr>
        <w:t xml:space="preserve"> des munitions 1.6N. Le Groupe de Compatibilité de l'ensemble mixte reste N si les munitions appartiennent à la même famille ou s'il a été démontré qu'en cas de détonation d'une munition, il n'y a pas de transmission instantanée aux munitions d’une autre famille (les familles sont alors dites “compatibles”). Si tel n’est pas le cas, l’ensemble des munitions devrait être considéré comme ayant les caractéristiques du groupe de compatibilité D.</w:t>
      </w:r>
    </w:p>
    <w:p w:rsidR="0082047E" w:rsidRPr="003A4C1A" w:rsidRDefault="003A4C1A" w:rsidP="003A4C1A">
      <w:pPr>
        <w:ind w:left="1134" w:hanging="1134"/>
        <w:rPr>
          <w:sz w:val="16"/>
          <w:szCs w:val="16"/>
        </w:rPr>
      </w:pPr>
      <w:r w:rsidRPr="003A4C1A">
        <w:rPr>
          <w:sz w:val="16"/>
          <w:szCs w:val="16"/>
        </w:rPr>
        <w:t xml:space="preserve">NOTE 7 </w:t>
      </w:r>
      <w:r w:rsidRPr="003A4C1A">
        <w:rPr>
          <w:sz w:val="16"/>
          <w:szCs w:val="16"/>
        </w:rPr>
        <w:tab/>
        <w:t>Un ensemble mixte de munitions 1.6N et 1.4S peut être considéré comme ayant les caractéristiques du groupe de compatibilité N.</w:t>
      </w:r>
    </w:p>
    <w:p w:rsidR="0082047E" w:rsidRDefault="0082047E" w:rsidP="0082047E"/>
    <w:p w:rsidR="0082047E" w:rsidRDefault="0082047E" w:rsidP="0082047E">
      <w:pPr>
        <w:rPr>
          <w:sz w:val="16"/>
          <w:szCs w:val="16"/>
          <w:u w:val="single"/>
        </w:rPr>
      </w:pPr>
    </w:p>
    <w:p w:rsidR="0082047E" w:rsidRDefault="0082047E" w:rsidP="0082047E">
      <w:pPr>
        <w:jc w:val="left"/>
        <w:rPr>
          <w:sz w:val="16"/>
          <w:szCs w:val="16"/>
        </w:rPr>
      </w:pPr>
    </w:p>
    <w:p w:rsidR="0082047E" w:rsidRDefault="0082047E" w:rsidP="00CC24EC">
      <w:pPr>
        <w:pStyle w:val="Kop4"/>
        <w:numPr>
          <w:ilvl w:val="3"/>
          <w:numId w:val="20"/>
        </w:numPr>
        <w:ind w:left="851" w:hanging="851"/>
      </w:pPr>
      <w:r>
        <w:t>Méthodes d'épreuves</w:t>
      </w:r>
    </w:p>
    <w:p w:rsidR="0082047E" w:rsidRDefault="0082047E" w:rsidP="0082047E">
      <w:pPr>
        <w:rPr>
          <w:lang w:val="fr-FR"/>
        </w:rPr>
      </w:pPr>
    </w:p>
    <w:p w:rsidR="0082047E" w:rsidRDefault="0082047E" w:rsidP="0082047E">
      <w:pPr>
        <w:rPr>
          <w:lang w:val="fr-FR"/>
        </w:rPr>
      </w:pPr>
      <w:r>
        <w:rPr>
          <w:lang w:val="fr-FR"/>
        </w:rPr>
        <w:t xml:space="preserve">L'affectation d'une matière ou d'un objet de la classe 1 à l'une des six divisions correspondant à la nature du </w:t>
      </w:r>
      <w:r w:rsidR="00FB6ADD">
        <w:rPr>
          <w:lang w:val="fr-FR"/>
        </w:rPr>
        <w:t>danger</w:t>
      </w:r>
      <w:r w:rsidR="005533E1">
        <w:rPr>
          <w:lang w:val="fr-FR"/>
        </w:rPr>
        <w:t xml:space="preserve"> </w:t>
      </w:r>
      <w:r w:rsidR="00C44868">
        <w:rPr>
          <w:lang w:val="fr-FR"/>
        </w:rPr>
        <w:t xml:space="preserve">qu'il </w:t>
      </w:r>
      <w:r>
        <w:rPr>
          <w:lang w:val="fr-FR"/>
        </w:rPr>
        <w:t>présent</w:t>
      </w:r>
      <w:r w:rsidR="00EF7946">
        <w:rPr>
          <w:lang w:val="fr-FR"/>
        </w:rPr>
        <w:t>e</w:t>
      </w:r>
      <w:r>
        <w:rPr>
          <w:lang w:val="fr-FR"/>
        </w:rPr>
        <w:t xml:space="preserve"> et à l'un des 13 groupes de compatibilité se fait à l'aide du Manuel d'épreuves et des critères des Recommandations relatives au transport des marchandises dangereuses de</w:t>
      </w:r>
      <w:r w:rsidR="00C44868">
        <w:rPr>
          <w:lang w:val="fr-FR"/>
        </w:rPr>
        <w:t>s</w:t>
      </w:r>
      <w:r>
        <w:rPr>
          <w:lang w:val="fr-FR"/>
        </w:rPr>
        <w:t xml:space="preserve"> Nations Unies.</w:t>
      </w:r>
    </w:p>
    <w:p w:rsidR="0082047E" w:rsidRDefault="0082047E" w:rsidP="0082047E">
      <w:pPr>
        <w:rPr>
          <w:lang w:val="fr-FR"/>
        </w:rPr>
      </w:pPr>
    </w:p>
    <w:p w:rsidR="0082047E" w:rsidRDefault="0082047E" w:rsidP="0082047E">
      <w:pPr>
        <w:rPr>
          <w:lang w:val="fr-FR"/>
        </w:rPr>
      </w:pPr>
      <w:r>
        <w:rPr>
          <w:lang w:val="fr-FR"/>
        </w:rPr>
        <w:t>La première partie de ce manuel décrit les procédures de classement, épreuves et critères relatifs aux matières et objets explosibles de la classe 1. Huit séries d'épreuves y sont décrites, permettant de déterminer si</w:t>
      </w:r>
      <w:r w:rsidR="003A1335">
        <w:rPr>
          <w:lang w:val="fr-FR"/>
        </w:rPr>
        <w:t xml:space="preserve"> </w:t>
      </w:r>
      <w:r>
        <w:rPr>
          <w:lang w:val="fr-FR"/>
        </w:rPr>
        <w:t>:</w:t>
      </w:r>
    </w:p>
    <w:p w:rsidR="0082047E" w:rsidRDefault="0082047E" w:rsidP="0082047E">
      <w:pPr>
        <w:rPr>
          <w:lang w:val="fr-FR"/>
        </w:rPr>
      </w:pPr>
    </w:p>
    <w:p w:rsidR="0082047E" w:rsidRDefault="0082047E" w:rsidP="00CC24EC">
      <w:pPr>
        <w:numPr>
          <w:ilvl w:val="0"/>
          <w:numId w:val="28"/>
        </w:numPr>
        <w:rPr>
          <w:lang w:val="fr-FR"/>
        </w:rPr>
      </w:pPr>
      <w:proofErr w:type="gramStart"/>
      <w:r>
        <w:rPr>
          <w:lang w:val="fr-FR"/>
        </w:rPr>
        <w:t>une</w:t>
      </w:r>
      <w:proofErr w:type="gramEnd"/>
      <w:r>
        <w:rPr>
          <w:lang w:val="fr-FR"/>
        </w:rPr>
        <w:t xml:space="preserve"> matière a des propriétés explosives (épreuves de la série 1), </w:t>
      </w:r>
    </w:p>
    <w:p w:rsidR="0082047E" w:rsidRDefault="0082047E" w:rsidP="00CC24EC">
      <w:pPr>
        <w:numPr>
          <w:ilvl w:val="0"/>
          <w:numId w:val="28"/>
        </w:numPr>
        <w:rPr>
          <w:lang w:val="fr-FR"/>
        </w:rPr>
      </w:pPr>
      <w:proofErr w:type="gramStart"/>
      <w:r>
        <w:rPr>
          <w:lang w:val="fr-FR"/>
        </w:rPr>
        <w:t>une</w:t>
      </w:r>
      <w:proofErr w:type="gramEnd"/>
      <w:r>
        <w:rPr>
          <w:lang w:val="fr-FR"/>
        </w:rPr>
        <w:t xml:space="preserve"> matière est trop insensible pour être classée dans la classe 1 (épreuves de la série 2), </w:t>
      </w:r>
    </w:p>
    <w:p w:rsidR="0082047E" w:rsidRDefault="0082047E" w:rsidP="00CC24EC">
      <w:pPr>
        <w:numPr>
          <w:ilvl w:val="0"/>
          <w:numId w:val="28"/>
        </w:numPr>
        <w:rPr>
          <w:lang w:val="fr-FR"/>
        </w:rPr>
      </w:pPr>
      <w:proofErr w:type="gramStart"/>
      <w:r>
        <w:rPr>
          <w:lang w:val="fr-FR"/>
        </w:rPr>
        <w:t>une</w:t>
      </w:r>
      <w:proofErr w:type="gramEnd"/>
      <w:r>
        <w:rPr>
          <w:lang w:val="fr-FR"/>
        </w:rPr>
        <w:t xml:space="preserve"> matière est stable à la chaleur et n'est pas trop dangereuse pour être transportée sous la forme éprouvée (épreuves de la série 3), </w:t>
      </w:r>
    </w:p>
    <w:p w:rsidR="0082047E" w:rsidRDefault="0082047E" w:rsidP="00CC24EC">
      <w:pPr>
        <w:numPr>
          <w:ilvl w:val="0"/>
          <w:numId w:val="28"/>
        </w:numPr>
        <w:rPr>
          <w:lang w:val="fr-FR"/>
        </w:rPr>
      </w:pPr>
      <w:proofErr w:type="gramStart"/>
      <w:r>
        <w:rPr>
          <w:lang w:val="fr-FR"/>
        </w:rPr>
        <w:t>un</w:t>
      </w:r>
      <w:proofErr w:type="gramEnd"/>
      <w:r>
        <w:rPr>
          <w:lang w:val="fr-FR"/>
        </w:rPr>
        <w:t xml:space="preserve"> objet, un objet emballé ou une matière emballée sont trop dangereux pour le transport (épreuves de la série 4), </w:t>
      </w:r>
    </w:p>
    <w:p w:rsidR="0082047E" w:rsidRDefault="0082047E" w:rsidP="00CC24EC">
      <w:pPr>
        <w:numPr>
          <w:ilvl w:val="0"/>
          <w:numId w:val="28"/>
        </w:numPr>
        <w:rPr>
          <w:lang w:val="fr-FR"/>
        </w:rPr>
      </w:pPr>
      <w:proofErr w:type="gramStart"/>
      <w:r>
        <w:rPr>
          <w:lang w:val="fr-FR"/>
        </w:rPr>
        <w:t>une</w:t>
      </w:r>
      <w:proofErr w:type="gramEnd"/>
      <w:r>
        <w:rPr>
          <w:lang w:val="fr-FR"/>
        </w:rPr>
        <w:t xml:space="preserve"> matière peut être affectée à la division 1.5 (épreuves de la série 5), </w:t>
      </w:r>
    </w:p>
    <w:p w:rsidR="0082047E" w:rsidRDefault="0082047E" w:rsidP="00CC24EC">
      <w:pPr>
        <w:numPr>
          <w:ilvl w:val="0"/>
          <w:numId w:val="28"/>
        </w:numPr>
        <w:rPr>
          <w:lang w:val="fr-FR"/>
        </w:rPr>
      </w:pPr>
      <w:proofErr w:type="gramStart"/>
      <w:r>
        <w:rPr>
          <w:lang w:val="fr-FR"/>
        </w:rPr>
        <w:t>il</w:t>
      </w:r>
      <w:proofErr w:type="gramEnd"/>
      <w:r>
        <w:rPr>
          <w:lang w:val="fr-FR"/>
        </w:rPr>
        <w:t xml:space="preserve"> est possible d’affecter une matière ou un objet aux divisions 1.1, 1.2, 1.3 ou 1.4 ou l'exclure de la classe 1 (épreuves de la série 6), </w:t>
      </w:r>
    </w:p>
    <w:p w:rsidR="0082047E" w:rsidRDefault="0082047E" w:rsidP="00CC24EC">
      <w:pPr>
        <w:numPr>
          <w:ilvl w:val="0"/>
          <w:numId w:val="28"/>
        </w:numPr>
        <w:rPr>
          <w:lang w:val="fr-FR"/>
        </w:rPr>
      </w:pPr>
      <w:proofErr w:type="gramStart"/>
      <w:r>
        <w:rPr>
          <w:lang w:val="fr-FR"/>
        </w:rPr>
        <w:t>un</w:t>
      </w:r>
      <w:proofErr w:type="gramEnd"/>
      <w:r>
        <w:rPr>
          <w:lang w:val="fr-FR"/>
        </w:rPr>
        <w:t xml:space="preserve"> objet peut être affecté à la division 1.6 (épreuves de la série 7)</w:t>
      </w:r>
    </w:p>
    <w:p w:rsidR="0082047E" w:rsidRDefault="0082047E" w:rsidP="00CC24EC">
      <w:pPr>
        <w:numPr>
          <w:ilvl w:val="0"/>
          <w:numId w:val="28"/>
        </w:numPr>
        <w:rPr>
          <w:lang w:val="fr-FR"/>
        </w:rPr>
      </w:pPr>
      <w:proofErr w:type="gramStart"/>
      <w:r>
        <w:rPr>
          <w:lang w:val="fr-FR"/>
        </w:rPr>
        <w:t>une</w:t>
      </w:r>
      <w:proofErr w:type="gramEnd"/>
      <w:r>
        <w:rPr>
          <w:lang w:val="fr-FR"/>
        </w:rPr>
        <w:t xml:space="preserve"> émulsion, une suspension ou un gel de nitrate d'ammonium servant à la fabrication d'explosifs de mine (ENA) est suffisamment insensible pour être classé dans la division 5.1 et pour déterminer si cette matière peut être transportée en citernes (épreuves de la série 8).</w:t>
      </w:r>
    </w:p>
    <w:p w:rsidR="0082047E" w:rsidRDefault="0082047E" w:rsidP="0082047E">
      <w:pPr>
        <w:pStyle w:val="Kop3"/>
      </w:pPr>
      <w:r>
        <w:t>2.2.2 La classe 3 code de classification D</w:t>
      </w:r>
    </w:p>
    <w:p w:rsidR="0082047E" w:rsidRDefault="0082047E" w:rsidP="0082047E">
      <w:pPr>
        <w:rPr>
          <w:lang w:val="fr-FR"/>
        </w:rPr>
      </w:pPr>
    </w:p>
    <w:p w:rsidR="0082047E" w:rsidRDefault="0082047E" w:rsidP="0082047E">
      <w:pPr>
        <w:rPr>
          <w:lang w:val="fr-FR"/>
        </w:rPr>
      </w:pPr>
      <w:r>
        <w:rPr>
          <w:lang w:val="fr-FR"/>
        </w:rPr>
        <w:t xml:space="preserve">Ce groupe couvre les matières explosibles désensibilisées liquides. Ce sont des matières explosibles liquides qui sont mises en solution ou en suspension dans l'eau ou dans d'autres liquides de manière à former un mélange liquide homogène n'ayant plus de propriétés explosives. Ces rubriques sont désignées par les numéros </w:t>
      </w:r>
      <w:proofErr w:type="gramStart"/>
      <w:r w:rsidR="002E49AE">
        <w:rPr>
          <w:lang w:val="fr-FR"/>
        </w:rPr>
        <w:t>UN</w:t>
      </w:r>
      <w:r w:rsidR="005533E1">
        <w:rPr>
          <w:lang w:val="fr-FR"/>
        </w:rPr>
        <w:t xml:space="preserve"> </w:t>
      </w:r>
      <w:r>
        <w:rPr>
          <w:lang w:val="fr-FR"/>
        </w:rPr>
        <w:t>suivants</w:t>
      </w:r>
      <w:proofErr w:type="gramEnd"/>
      <w:r>
        <w:rPr>
          <w:lang w:val="fr-FR"/>
        </w:rPr>
        <w:t xml:space="preserve"> : 1204, 2059, 3064, 3343, 3357, 3379.</w:t>
      </w:r>
    </w:p>
    <w:p w:rsidR="00C321C5" w:rsidRDefault="00C321C5" w:rsidP="0082047E">
      <w:pPr>
        <w:rPr>
          <w:lang w:val="fr-FR"/>
        </w:rPr>
      </w:pPr>
      <w:r>
        <w:rPr>
          <w:lang w:val="fr-FR"/>
        </w:rPr>
        <w:t>Par exemple : la nitrocellulose dans l’eau</w:t>
      </w:r>
      <w:r w:rsidR="00EF7946">
        <w:rPr>
          <w:lang w:val="fr-FR"/>
        </w:rPr>
        <w:t>.</w:t>
      </w:r>
    </w:p>
    <w:p w:rsidR="0082047E" w:rsidRDefault="0082047E" w:rsidP="0082047E">
      <w:pPr>
        <w:rPr>
          <w:lang w:val="fr-FR"/>
        </w:rPr>
      </w:pPr>
    </w:p>
    <w:p w:rsidR="0082047E" w:rsidRDefault="0082047E" w:rsidP="0082047E">
      <w:pPr>
        <w:pStyle w:val="Kop3"/>
      </w:pPr>
      <w:r>
        <w:t>2.2.3 La classe 4.1 code de classification D et DT</w:t>
      </w:r>
    </w:p>
    <w:p w:rsidR="0082047E" w:rsidRDefault="0082047E" w:rsidP="0082047E">
      <w:pPr>
        <w:rPr>
          <w:lang w:val="fr-FR"/>
        </w:rPr>
      </w:pPr>
    </w:p>
    <w:p w:rsidR="0082047E" w:rsidRDefault="0082047E" w:rsidP="0082047E">
      <w:pPr>
        <w:rPr>
          <w:lang w:val="fr-FR"/>
        </w:rPr>
      </w:pPr>
      <w:r>
        <w:rPr>
          <w:lang w:val="fr-FR"/>
        </w:rPr>
        <w:t xml:space="preserve">Le code de classification 4.1D désigne les matières explosibles désensibilisées solides, sans </w:t>
      </w:r>
      <w:r w:rsidR="00FB6ADD">
        <w:rPr>
          <w:lang w:val="fr-FR"/>
        </w:rPr>
        <w:t xml:space="preserve">danger </w:t>
      </w:r>
      <w:r>
        <w:rPr>
          <w:lang w:val="fr-FR"/>
        </w:rPr>
        <w:t>subsidiaire et le code de classification 4.1DT désigne les matières explosibles désensibilisées solides, toxiques.</w:t>
      </w:r>
    </w:p>
    <w:p w:rsidR="0082047E" w:rsidRDefault="0082047E" w:rsidP="0082047E">
      <w:pPr>
        <w:rPr>
          <w:lang w:val="fr-FR"/>
        </w:rPr>
      </w:pPr>
      <w:r>
        <w:rPr>
          <w:lang w:val="fr-FR"/>
        </w:rPr>
        <w:t xml:space="preserve">Il s'agit de matières qui sont humidifiées avec de l'eau ou de l'alcool, ou encore diluées avec d'autres matières afin d'en éliminer les propriétés explosives. Ces rubriques sont désignées par les numéros </w:t>
      </w:r>
      <w:proofErr w:type="gramStart"/>
      <w:r w:rsidR="002E49AE">
        <w:rPr>
          <w:lang w:val="fr-FR"/>
        </w:rPr>
        <w:t>UN</w:t>
      </w:r>
      <w:r w:rsidR="005533E1">
        <w:rPr>
          <w:lang w:val="fr-FR"/>
        </w:rPr>
        <w:t xml:space="preserve"> </w:t>
      </w:r>
      <w:r>
        <w:rPr>
          <w:lang w:val="fr-FR"/>
        </w:rPr>
        <w:t>suivants</w:t>
      </w:r>
      <w:proofErr w:type="gramEnd"/>
      <w:r>
        <w:rPr>
          <w:lang w:val="fr-FR"/>
        </w:rPr>
        <w:t xml:space="preserve"> : 1310, 1320, 1321, 1322, 1336, 1337, 1344, 1347, 1348, 1349, 1354, 1355, 1356, 1357, 1517, 1571, 2555, 2556, 2557, 2852, 2907, 3317, 3319, 3344, 3364, 3365, 3366, 3367, 3368, 3369, 3370, 3376, 3380 et 3474.</w:t>
      </w:r>
    </w:p>
    <w:p w:rsidR="0082047E" w:rsidRDefault="0082047E" w:rsidP="0082047E">
      <w:pPr>
        <w:rPr>
          <w:lang w:val="fr-FR"/>
        </w:rPr>
      </w:pPr>
    </w:p>
    <w:p w:rsidR="005533E1" w:rsidRDefault="005533E1" w:rsidP="0082047E">
      <w:pPr>
        <w:rPr>
          <w:lang w:val="fr-FR"/>
        </w:rPr>
      </w:pPr>
    </w:p>
    <w:p w:rsidR="0082047E" w:rsidRDefault="0082047E" w:rsidP="0082047E">
      <w:pPr>
        <w:pStyle w:val="Kop3"/>
      </w:pPr>
      <w:r>
        <w:t xml:space="preserve">2.2.4 La classe 9 numéro </w:t>
      </w:r>
      <w:r w:rsidR="005533E1">
        <w:t>UN</w:t>
      </w:r>
      <w:r w:rsidR="0058667C">
        <w:t xml:space="preserve"> </w:t>
      </w:r>
      <w:r>
        <w:t xml:space="preserve">3268 : </w:t>
      </w:r>
      <w:r w:rsidR="00104C12">
        <w:t>Dispositifs de sécurité à amorçage électronique</w:t>
      </w:r>
    </w:p>
    <w:p w:rsidR="0082047E" w:rsidRDefault="0082047E" w:rsidP="0082047E">
      <w:pPr>
        <w:rPr>
          <w:lang w:val="fr-FR"/>
        </w:rPr>
      </w:pPr>
    </w:p>
    <w:p w:rsidR="0082047E" w:rsidRDefault="0082047E" w:rsidP="0082047E">
      <w:pPr>
        <w:rPr>
          <w:lang w:val="fr-FR"/>
        </w:rPr>
      </w:pPr>
      <w:r>
        <w:rPr>
          <w:lang w:val="fr-FR"/>
        </w:rPr>
        <w:t xml:space="preserve">Cette rubrique s'applique aux objets qui sont utilisés dans les véhicules à des fins de protection individuelle comme générateurs de gaz pour sac gonflable (airbag) ou modules de sac gonflable ou rétracteurs de ceintures de sécurité et qui contiennent des marchandises dangereuses de la classe 1, lorsqu'ils sont transportés en tant que composants et lorsque ces objets, dans leur emballage, ont été éprouvés sans qu'il soit observé d'explosion du dispositif, de fragmentation de l'enveloppe du dispositif, ni de </w:t>
      </w:r>
      <w:r w:rsidR="0014688B">
        <w:rPr>
          <w:lang w:val="fr-FR"/>
        </w:rPr>
        <w:t>risque</w:t>
      </w:r>
      <w:r w:rsidR="00FB6ADD">
        <w:rPr>
          <w:lang w:val="fr-FR"/>
        </w:rPr>
        <w:t xml:space="preserve"> </w:t>
      </w:r>
      <w:r>
        <w:rPr>
          <w:lang w:val="fr-FR"/>
        </w:rPr>
        <w:t>de projection ou d'effet thermique qui puissent entraver notablement les activités de lutte contre l'incendie ou autres interventions d'urgence au voisinage immédiat.</w:t>
      </w:r>
    </w:p>
    <w:p w:rsidR="0082047E" w:rsidRDefault="0082047E" w:rsidP="00752D22">
      <w:pPr>
        <w:autoSpaceDE w:val="0"/>
        <w:autoSpaceDN w:val="0"/>
        <w:adjustRightInd w:val="0"/>
        <w:ind w:left="708"/>
        <w:jc w:val="left"/>
        <w:rPr>
          <w:rFonts w:ascii="EUAlbertina" w:eastAsia="Calibri" w:hAnsi="EUAlbertina" w:cs="EUAlbertina"/>
          <w:i/>
          <w:sz w:val="22"/>
          <w:szCs w:val="22"/>
          <w:lang w:val="fr-FR" w:eastAsia="en-US"/>
        </w:rPr>
      </w:pPr>
    </w:p>
    <w:p w:rsidR="00230843" w:rsidRDefault="00230843" w:rsidP="00752D22">
      <w:pPr>
        <w:autoSpaceDE w:val="0"/>
        <w:autoSpaceDN w:val="0"/>
        <w:adjustRightInd w:val="0"/>
        <w:ind w:left="708"/>
        <w:jc w:val="left"/>
        <w:rPr>
          <w:rFonts w:ascii="EUAlbertina" w:eastAsia="Calibri" w:hAnsi="EUAlbertina" w:cs="EUAlbertina"/>
          <w:i/>
          <w:sz w:val="22"/>
          <w:szCs w:val="22"/>
          <w:lang w:val="fr-FR" w:eastAsia="en-US"/>
        </w:rPr>
      </w:pPr>
    </w:p>
    <w:p w:rsidR="00230843" w:rsidRPr="002313A5" w:rsidRDefault="00230843" w:rsidP="00230843">
      <w:pPr>
        <w:pStyle w:val="Kop3"/>
      </w:pPr>
      <w:r>
        <w:t>2.2.5 Les émulsions, suspensions ou gels de nitrate d’ammonium servant à la fabrication des explosifs de mine (U</w:t>
      </w:r>
      <w:r w:rsidR="00293CD5">
        <w:t>N</w:t>
      </w:r>
      <w:r>
        <w:t xml:space="preserve"> 3375, classe 5.1</w:t>
      </w:r>
      <w:r w:rsidR="00092495">
        <w:t>- matière comburante</w:t>
      </w:r>
      <w:r>
        <w:t>)</w:t>
      </w:r>
    </w:p>
    <w:p w:rsidR="00230843" w:rsidRDefault="00230843" w:rsidP="00230843"/>
    <w:p w:rsidR="005B6790" w:rsidRDefault="00230843" w:rsidP="00230843">
      <w:r>
        <w:t xml:space="preserve">Cette rubrique s’applique aux émulsions, suspensions et gels non sensibilisés se composant principalement d’un mélange de nitrate d’ammonium et d’un combustible, </w:t>
      </w:r>
      <w:r w:rsidRPr="00CF2DDD">
        <w:rPr>
          <w:b/>
        </w:rPr>
        <w:t>destiné à produire un explosif de mine, mais seulement après un traitement supplémentaire précédant l’emploi.</w:t>
      </w:r>
    </w:p>
    <w:p w:rsidR="00230843" w:rsidRDefault="00230843" w:rsidP="00230843">
      <w:pPr>
        <w:rPr>
          <w:b/>
        </w:rPr>
      </w:pPr>
    </w:p>
    <w:p w:rsidR="00230843" w:rsidRDefault="00230843" w:rsidP="00230843"/>
    <w:p w:rsidR="00230843" w:rsidRDefault="00230843" w:rsidP="00230843">
      <w:r>
        <w:t>Pour les émulsions, le mélange a généralement la composition suivante</w:t>
      </w:r>
      <w:r w:rsidR="003A1335">
        <w:t xml:space="preserve"> </w:t>
      </w:r>
      <w:r>
        <w:t>: 60-85% de nitrate d’ammonium, 5-30% d’eau, 2-8% de combustible, 0,5-4% d’émulsifiant, 0-10% d’agents solubles inhibiteurs de flamme, ainsi que des traces d’additifs. D’autres sels de nitrate inorganiques peuvent remplacer en partie le nitrate d’ammonium.</w:t>
      </w:r>
    </w:p>
    <w:p w:rsidR="00230843" w:rsidRDefault="00230843" w:rsidP="00230843"/>
    <w:p w:rsidR="00230843" w:rsidRDefault="00230843" w:rsidP="00230843">
      <w:r>
        <w:t>Pour les suspensions et les gels, le mélange a généralement la composition suivante</w:t>
      </w:r>
      <w:r w:rsidR="003A1335">
        <w:t xml:space="preserve"> </w:t>
      </w:r>
      <w:r>
        <w:t>: 60-85% de nitrate d’ammonium, 0-5% de perchlorate de sodium de potassium, 0-17% de nitrate d’</w:t>
      </w:r>
      <w:proofErr w:type="spellStart"/>
      <w:r>
        <w:t>hexamine</w:t>
      </w:r>
      <w:proofErr w:type="spellEnd"/>
      <w:r>
        <w:t xml:space="preserve"> ou nitrate de </w:t>
      </w:r>
      <w:proofErr w:type="spellStart"/>
      <w:r>
        <w:t>monométhylamine</w:t>
      </w:r>
      <w:proofErr w:type="spellEnd"/>
      <w:r>
        <w:t>, 5-30% d’eau, 2-15% de combustible, 0,5-4% d’agent épaississant, 0-10% d’agents solubles inhibiteurs de flamme, ainsi que des traces d’additifs.</w:t>
      </w:r>
    </w:p>
    <w:p w:rsidR="00230843" w:rsidRDefault="00230843" w:rsidP="00230843"/>
    <w:p w:rsidR="00230843" w:rsidRDefault="00230843" w:rsidP="00230843">
      <w:r>
        <w:t>D’autres sels de nitrate inorganiques peuvent remplacer en partie le nitrate d’ammonium.</w:t>
      </w:r>
    </w:p>
    <w:p w:rsidR="00230843" w:rsidRDefault="00230843" w:rsidP="00230843">
      <w:r>
        <w:t>Les matières doivent satisfaire aux épreuves 8 a), 8 b) et 8 c) de la série d'épreuve</w:t>
      </w:r>
      <w:r w:rsidR="00681753">
        <w:t>s</w:t>
      </w:r>
      <w:r>
        <w:t xml:space="preserve"> 8 du Manuel d’épreuves et de critères et être approuvées par l'autorité compétente.</w:t>
      </w:r>
    </w:p>
    <w:p w:rsidR="00230843" w:rsidRDefault="00230843" w:rsidP="00CF2DDD">
      <w:pPr>
        <w:autoSpaceDE w:val="0"/>
        <w:autoSpaceDN w:val="0"/>
        <w:adjustRightInd w:val="0"/>
        <w:jc w:val="left"/>
      </w:pPr>
      <w:r>
        <w:t>L'aptitude au transport en citernes doit être démontrée. La méthode d'évaluation de cette aptitude doit être agréée par l'autorité compétente. Une méthode d'évaluation est la méthode d'épreuve 8 d) de la série d'épreuve</w:t>
      </w:r>
      <w:r w:rsidR="00681753">
        <w:t>s</w:t>
      </w:r>
      <w:r>
        <w:t xml:space="preserve"> 8.</w:t>
      </w: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1B44D3" w:rsidRDefault="001B44D3" w:rsidP="00CF2DDD">
      <w:pPr>
        <w:autoSpaceDE w:val="0"/>
        <w:autoSpaceDN w:val="0"/>
        <w:adjustRightInd w:val="0"/>
        <w:jc w:val="left"/>
      </w:pPr>
    </w:p>
    <w:p w:rsidR="00230843" w:rsidRDefault="00230843" w:rsidP="00CF2DDD">
      <w:pPr>
        <w:autoSpaceDE w:val="0"/>
        <w:autoSpaceDN w:val="0"/>
        <w:adjustRightInd w:val="0"/>
        <w:jc w:val="left"/>
      </w:pPr>
    </w:p>
    <w:p w:rsidR="005B6790" w:rsidRDefault="005B6790" w:rsidP="00CF2DDD">
      <w:pPr>
        <w:autoSpaceDE w:val="0"/>
        <w:autoSpaceDN w:val="0"/>
        <w:adjustRightInd w:val="0"/>
        <w:jc w:val="left"/>
      </w:pPr>
    </w:p>
    <w:p w:rsidR="00230843" w:rsidRDefault="00AA0B11" w:rsidP="00CF2DDD">
      <w:pPr>
        <w:pStyle w:val="Kop2"/>
        <w:numPr>
          <w:ilvl w:val="0"/>
          <w:numId w:val="0"/>
        </w:numPr>
        <w:ind w:left="567"/>
      </w:pPr>
      <w:bookmarkStart w:id="33" w:name="_Toc66895221"/>
      <w:r>
        <w:br w:type="page"/>
      </w:r>
      <w:r w:rsidR="00230843">
        <w:t>2.3</w:t>
      </w:r>
      <w:r w:rsidR="00C50960">
        <w:tab/>
      </w:r>
      <w:r w:rsidR="00230843">
        <w:t>Classement suivant CLP</w:t>
      </w:r>
      <w:bookmarkEnd w:id="33"/>
    </w:p>
    <w:p w:rsidR="00230843" w:rsidRDefault="00230843" w:rsidP="00230843">
      <w:pPr>
        <w:rPr>
          <w:lang w:val="fr-FR"/>
        </w:rPr>
      </w:pPr>
    </w:p>
    <w:p w:rsidR="00230843" w:rsidRPr="00CF2DDD" w:rsidRDefault="00230843" w:rsidP="00CF2DDD">
      <w:r w:rsidRPr="00CF2DDD">
        <w:t xml:space="preserve">Le </w:t>
      </w:r>
      <w:r>
        <w:t xml:space="preserve">règlement (CE) n° 1272/2008 du parlement européen et du conseil </w:t>
      </w:r>
      <w:r w:rsidRPr="00CF2DDD">
        <w:t>du 16 décembre 2008 (paru au Journal officiel de l'Union européenne du 31/12/2018) relatif à la classification, à l'étiquetage et à l'emballage des substances et des mélanges modifie et abroge les directives 67/548/CEE et 1999/45/CE et modifiant le règlement (CE) no 1907/2006.</w:t>
      </w:r>
    </w:p>
    <w:p w:rsidR="00230843" w:rsidRPr="00CF2DDD" w:rsidRDefault="00230843" w:rsidP="00CF2DDD"/>
    <w:p w:rsidR="00230843" w:rsidRDefault="00230843" w:rsidP="00CF2DDD">
      <w:r w:rsidRPr="00CF2DDD">
        <w:t xml:space="preserve"> Ce règlement est plus communément appelé « Règlement CLP »</w:t>
      </w:r>
      <w:r w:rsidR="001B44D3">
        <w:rPr>
          <w:rStyle w:val="Voetnootmarkering"/>
        </w:rPr>
        <w:footnoteReference w:id="3"/>
      </w:r>
      <w:r w:rsidRPr="00CF2DDD">
        <w:t>.</w:t>
      </w:r>
    </w:p>
    <w:p w:rsidR="00230843" w:rsidRDefault="00230843" w:rsidP="00CF2DDD"/>
    <w:p w:rsidR="00230843" w:rsidRDefault="00230843" w:rsidP="00230843">
      <w:pPr>
        <w:autoSpaceDE w:val="0"/>
        <w:autoSpaceDN w:val="0"/>
        <w:adjustRightInd w:val="0"/>
        <w:jc w:val="left"/>
      </w:pPr>
    </w:p>
    <w:p w:rsidR="001E3628" w:rsidRPr="0014688B" w:rsidRDefault="001E3628" w:rsidP="00230843">
      <w:pPr>
        <w:autoSpaceDE w:val="0"/>
        <w:autoSpaceDN w:val="0"/>
        <w:adjustRightInd w:val="0"/>
        <w:jc w:val="left"/>
        <w:rPr>
          <w:sz w:val="24"/>
          <w:szCs w:val="24"/>
        </w:rPr>
      </w:pPr>
      <w:r w:rsidRPr="0014688B">
        <w:rPr>
          <w:sz w:val="24"/>
          <w:szCs w:val="24"/>
        </w:rPr>
        <w:t>2.3.1. Classe des explosibles.</w:t>
      </w:r>
    </w:p>
    <w:p w:rsidR="001E3628" w:rsidRDefault="001E3628" w:rsidP="00230843">
      <w:pPr>
        <w:autoSpaceDE w:val="0"/>
        <w:autoSpaceDN w:val="0"/>
        <w:adjustRightInd w:val="0"/>
        <w:jc w:val="left"/>
        <w:rPr>
          <w:rFonts w:ascii="EUAlbertina" w:eastAsia="Calibri" w:hAnsi="EUAlbertina" w:cs="EUAlbertina"/>
          <w:i/>
          <w:sz w:val="22"/>
          <w:szCs w:val="22"/>
          <w:lang w:eastAsia="en-US"/>
        </w:rPr>
      </w:pPr>
    </w:p>
    <w:p w:rsidR="00230843" w:rsidRPr="001B44D3" w:rsidRDefault="00230843" w:rsidP="00230843">
      <w:pPr>
        <w:autoSpaceDE w:val="0"/>
        <w:autoSpaceDN w:val="0"/>
        <w:adjustRightInd w:val="0"/>
        <w:jc w:val="left"/>
      </w:pPr>
      <w:r w:rsidRPr="001B44D3">
        <w:t xml:space="preserve">La classe des explosibles comprend : </w:t>
      </w:r>
    </w:p>
    <w:p w:rsidR="00230843" w:rsidRDefault="00230843" w:rsidP="00CF2DDD">
      <w:pPr>
        <w:autoSpaceDE w:val="0"/>
        <w:autoSpaceDN w:val="0"/>
        <w:adjustRightInd w:val="0"/>
        <w:jc w:val="left"/>
      </w:pPr>
    </w:p>
    <w:p w:rsidR="00230843" w:rsidRPr="001B44D3" w:rsidRDefault="00230843" w:rsidP="00230843">
      <w:pPr>
        <w:autoSpaceDE w:val="0"/>
        <w:autoSpaceDN w:val="0"/>
        <w:adjustRightInd w:val="0"/>
        <w:ind w:left="708"/>
        <w:jc w:val="left"/>
      </w:pPr>
    </w:p>
    <w:p w:rsidR="00752D22" w:rsidRPr="001B44D3" w:rsidRDefault="00752D22" w:rsidP="00752D22">
      <w:pPr>
        <w:autoSpaceDE w:val="0"/>
        <w:autoSpaceDN w:val="0"/>
        <w:adjustRightInd w:val="0"/>
        <w:ind w:left="708"/>
        <w:jc w:val="left"/>
      </w:pPr>
      <w:r w:rsidRPr="001B44D3">
        <w:t>a) les substances et mélanges explosibles,</w:t>
      </w:r>
    </w:p>
    <w:p w:rsidR="00752D22" w:rsidRPr="001B44D3" w:rsidRDefault="00752D22" w:rsidP="00752D22">
      <w:pPr>
        <w:autoSpaceDE w:val="0"/>
        <w:autoSpaceDN w:val="0"/>
        <w:adjustRightInd w:val="0"/>
        <w:ind w:left="708"/>
        <w:jc w:val="left"/>
      </w:pPr>
    </w:p>
    <w:p w:rsidR="00752D22" w:rsidRPr="001B44D3" w:rsidRDefault="00752D22" w:rsidP="00752D22">
      <w:pPr>
        <w:autoSpaceDE w:val="0"/>
        <w:autoSpaceDN w:val="0"/>
        <w:adjustRightInd w:val="0"/>
        <w:ind w:left="708"/>
        <w:jc w:val="left"/>
      </w:pPr>
      <w:r w:rsidRPr="001B44D3">
        <w:t>b) les objets explosibles, à l'exception des engins contenant des substances ou mélanges explosibles en quantité ou d'une nature telle que leur allumage ou leur amorçage involontaire ou accidentel ne cause aucun effet de projection, effet incendiaire, fumigène, calorifique ou sonore intense extérieur à l'engin,</w:t>
      </w:r>
    </w:p>
    <w:p w:rsidR="00752D22" w:rsidRPr="001B44D3" w:rsidRDefault="00752D22" w:rsidP="00752D22">
      <w:pPr>
        <w:autoSpaceDE w:val="0"/>
        <w:autoSpaceDN w:val="0"/>
        <w:adjustRightInd w:val="0"/>
        <w:ind w:left="708"/>
        <w:jc w:val="left"/>
      </w:pPr>
    </w:p>
    <w:p w:rsidR="00752D22" w:rsidRPr="001B44D3" w:rsidRDefault="00752D22" w:rsidP="00752D22">
      <w:pPr>
        <w:autoSpaceDE w:val="0"/>
        <w:autoSpaceDN w:val="0"/>
        <w:adjustRightInd w:val="0"/>
        <w:ind w:left="708"/>
        <w:jc w:val="left"/>
      </w:pPr>
      <w:proofErr w:type="gramStart"/>
      <w:r w:rsidRPr="001B44D3">
        <w:t>et</w:t>
      </w:r>
      <w:proofErr w:type="gramEnd"/>
    </w:p>
    <w:p w:rsidR="00752D22" w:rsidRPr="001B44D3" w:rsidRDefault="00752D22" w:rsidP="00752D22">
      <w:pPr>
        <w:autoSpaceDE w:val="0"/>
        <w:autoSpaceDN w:val="0"/>
        <w:adjustRightInd w:val="0"/>
        <w:ind w:left="708"/>
        <w:jc w:val="left"/>
      </w:pPr>
    </w:p>
    <w:p w:rsidR="00752D22" w:rsidRPr="001B44D3" w:rsidRDefault="00752D22" w:rsidP="00752D22">
      <w:pPr>
        <w:autoSpaceDE w:val="0"/>
        <w:autoSpaceDN w:val="0"/>
        <w:adjustRightInd w:val="0"/>
        <w:ind w:left="708"/>
        <w:jc w:val="left"/>
      </w:pPr>
      <w:r w:rsidRPr="001B44D3">
        <w:t>c) les substances, mélanges et objets non visés aux points a) et b), qui sont fabriqués en vue de produire un effet pratique par explosion ou pyrotechnique.</w:t>
      </w:r>
    </w:p>
    <w:p w:rsidR="00752D22" w:rsidRPr="001B44D3" w:rsidRDefault="00752D22" w:rsidP="00752D22">
      <w:pPr>
        <w:autoSpaceDE w:val="0"/>
        <w:autoSpaceDN w:val="0"/>
        <w:adjustRightInd w:val="0"/>
        <w:ind w:left="708"/>
        <w:jc w:val="left"/>
      </w:pPr>
    </w:p>
    <w:p w:rsidR="00752D22" w:rsidRPr="001B44D3" w:rsidRDefault="00752D22" w:rsidP="00571359">
      <w:pPr>
        <w:autoSpaceDE w:val="0"/>
        <w:autoSpaceDN w:val="0"/>
        <w:adjustRightInd w:val="0"/>
        <w:jc w:val="left"/>
      </w:pPr>
      <w:r w:rsidRPr="001B44D3">
        <w:t>Aux fins du règlement CLP, on entend par</w:t>
      </w:r>
      <w:r w:rsidR="00A13E14">
        <w:t xml:space="preserve"> </w:t>
      </w:r>
      <w:r w:rsidRPr="001B44D3">
        <w:t>:</w:t>
      </w:r>
    </w:p>
    <w:p w:rsidR="00752D22" w:rsidRPr="001B44D3" w:rsidRDefault="00752D22" w:rsidP="00752D22">
      <w:pPr>
        <w:autoSpaceDE w:val="0"/>
        <w:autoSpaceDN w:val="0"/>
        <w:adjustRightInd w:val="0"/>
        <w:ind w:left="708"/>
        <w:jc w:val="left"/>
      </w:pPr>
    </w:p>
    <w:p w:rsidR="00752D22" w:rsidRPr="001B44D3" w:rsidRDefault="00752D22" w:rsidP="00CC24EC">
      <w:pPr>
        <w:numPr>
          <w:ilvl w:val="0"/>
          <w:numId w:val="17"/>
        </w:numPr>
        <w:autoSpaceDE w:val="0"/>
        <w:autoSpaceDN w:val="0"/>
        <w:adjustRightInd w:val="0"/>
        <w:jc w:val="left"/>
      </w:pPr>
      <w:r w:rsidRPr="001B44D3">
        <w:t>«</w:t>
      </w:r>
      <w:r w:rsidR="0085389F">
        <w:t xml:space="preserve"> </w:t>
      </w:r>
      <w:proofErr w:type="gramStart"/>
      <w:r w:rsidRPr="001B44D3">
        <w:t>substance</w:t>
      </w:r>
      <w:proofErr w:type="gramEnd"/>
      <w:r w:rsidRPr="001B44D3">
        <w:t xml:space="preserve"> explosible ou mélange explosible</w:t>
      </w:r>
      <w:r w:rsidR="0085389F">
        <w:t xml:space="preserve"> </w:t>
      </w:r>
      <w:r w:rsidRPr="001B44D3">
        <w:t>»: une substance ou un mélange de substances solide ou liquide qui est en soi susceptible, par réaction chimique, de dégager des gaz à une température, une pression et une</w:t>
      </w:r>
      <w:r w:rsidR="007905CD" w:rsidRPr="001B44D3">
        <w:t xml:space="preserve"> </w:t>
      </w:r>
      <w:r w:rsidRPr="001B44D3">
        <w:t>vitesse telles qu'il en résulte des dégâts dans la zone environnante. Les substances</w:t>
      </w:r>
      <w:r w:rsidR="007905CD" w:rsidRPr="001B44D3">
        <w:t xml:space="preserve"> p</w:t>
      </w:r>
      <w:r w:rsidRPr="001B44D3">
        <w:t>yrotechniques sont</w:t>
      </w:r>
      <w:r w:rsidR="007905CD" w:rsidRPr="001B44D3">
        <w:t xml:space="preserve"> </w:t>
      </w:r>
      <w:r w:rsidRPr="001B44D3">
        <w:t>incluses dans cette définition, même si elles ne dégagent pas de gaz</w:t>
      </w:r>
      <w:r w:rsidR="0085389F">
        <w:t xml:space="preserve"> </w:t>
      </w:r>
      <w:r w:rsidRPr="001B44D3">
        <w:t>;</w:t>
      </w:r>
    </w:p>
    <w:p w:rsidR="00752D22" w:rsidRPr="001B44D3" w:rsidRDefault="00752D22" w:rsidP="00752D22">
      <w:pPr>
        <w:autoSpaceDE w:val="0"/>
        <w:autoSpaceDN w:val="0"/>
        <w:adjustRightInd w:val="0"/>
        <w:jc w:val="left"/>
      </w:pPr>
    </w:p>
    <w:p w:rsidR="00752D22" w:rsidRPr="001B44D3" w:rsidRDefault="00752D22" w:rsidP="00CC24EC">
      <w:pPr>
        <w:pStyle w:val="Lijstalinea"/>
        <w:numPr>
          <w:ilvl w:val="0"/>
          <w:numId w:val="17"/>
        </w:numPr>
        <w:autoSpaceDE w:val="0"/>
        <w:autoSpaceDN w:val="0"/>
        <w:adjustRightInd w:val="0"/>
        <w:ind w:left="708"/>
        <w:rPr>
          <w:szCs w:val="20"/>
          <w:lang w:val="fr-BE" w:eastAsia="en-GB"/>
        </w:rPr>
      </w:pPr>
      <w:r w:rsidRPr="001B44D3">
        <w:rPr>
          <w:szCs w:val="20"/>
          <w:lang w:val="fr-BE" w:eastAsia="en-GB"/>
        </w:rPr>
        <w:t>«</w:t>
      </w:r>
      <w:r w:rsidR="0085389F">
        <w:rPr>
          <w:szCs w:val="20"/>
          <w:lang w:val="fr-BE" w:eastAsia="en-GB"/>
        </w:rPr>
        <w:t xml:space="preserve"> </w:t>
      </w:r>
      <w:proofErr w:type="gramStart"/>
      <w:r w:rsidRPr="001B44D3">
        <w:rPr>
          <w:szCs w:val="20"/>
          <w:lang w:val="fr-BE" w:eastAsia="en-GB"/>
        </w:rPr>
        <w:t>substance</w:t>
      </w:r>
      <w:proofErr w:type="gramEnd"/>
      <w:r w:rsidRPr="001B44D3">
        <w:rPr>
          <w:szCs w:val="20"/>
          <w:lang w:val="fr-BE" w:eastAsia="en-GB"/>
        </w:rPr>
        <w:t xml:space="preserve"> ou mélange pyrotechnique</w:t>
      </w:r>
      <w:r w:rsidR="0085389F">
        <w:rPr>
          <w:szCs w:val="20"/>
          <w:lang w:val="fr-BE" w:eastAsia="en-GB"/>
        </w:rPr>
        <w:t xml:space="preserve"> </w:t>
      </w:r>
      <w:r w:rsidRPr="001B44D3">
        <w:rPr>
          <w:szCs w:val="20"/>
          <w:lang w:val="fr-BE" w:eastAsia="en-GB"/>
        </w:rPr>
        <w:t>»: une substance ou un mélange de substances destiné(e) à produire un</w:t>
      </w:r>
      <w:r w:rsidR="007905CD" w:rsidRPr="001B44D3">
        <w:rPr>
          <w:szCs w:val="20"/>
          <w:lang w:val="fr-BE" w:eastAsia="en-GB"/>
        </w:rPr>
        <w:t xml:space="preserve"> </w:t>
      </w:r>
      <w:r w:rsidRPr="001B44D3">
        <w:rPr>
          <w:szCs w:val="20"/>
          <w:lang w:val="fr-BE" w:eastAsia="en-GB"/>
        </w:rPr>
        <w:t>effet calorifique, lumineux, sonore, gazeux ou fumigène, ou une combinaison de ces effets, à la suite de</w:t>
      </w:r>
      <w:r w:rsidR="007905CD" w:rsidRPr="001B44D3">
        <w:rPr>
          <w:szCs w:val="20"/>
          <w:lang w:val="fr-BE" w:eastAsia="en-GB"/>
        </w:rPr>
        <w:t xml:space="preserve"> </w:t>
      </w:r>
      <w:r w:rsidRPr="001B44D3">
        <w:rPr>
          <w:szCs w:val="20"/>
          <w:lang w:val="fr-BE" w:eastAsia="en-GB"/>
        </w:rPr>
        <w:t>réactions chimiques exothermiques auto-entretenues non détonantes;</w:t>
      </w:r>
    </w:p>
    <w:p w:rsidR="00752D22" w:rsidRPr="001B44D3" w:rsidRDefault="00752D22" w:rsidP="00752D22">
      <w:pPr>
        <w:autoSpaceDE w:val="0"/>
        <w:autoSpaceDN w:val="0"/>
        <w:adjustRightInd w:val="0"/>
        <w:ind w:left="708"/>
        <w:jc w:val="left"/>
      </w:pPr>
    </w:p>
    <w:p w:rsidR="007905CD" w:rsidRPr="001B44D3" w:rsidRDefault="00752D22" w:rsidP="00CC24EC">
      <w:pPr>
        <w:pStyle w:val="Lijstalinea"/>
        <w:numPr>
          <w:ilvl w:val="0"/>
          <w:numId w:val="17"/>
        </w:numPr>
        <w:autoSpaceDE w:val="0"/>
        <w:autoSpaceDN w:val="0"/>
        <w:adjustRightInd w:val="0"/>
        <w:ind w:left="708"/>
        <w:rPr>
          <w:szCs w:val="20"/>
          <w:lang w:val="fr-BE" w:eastAsia="en-GB"/>
        </w:rPr>
      </w:pPr>
      <w:r w:rsidRPr="001B44D3">
        <w:rPr>
          <w:szCs w:val="20"/>
          <w:lang w:val="fr-BE" w:eastAsia="en-GB"/>
        </w:rPr>
        <w:t>«</w:t>
      </w:r>
      <w:r w:rsidR="0085389F">
        <w:rPr>
          <w:szCs w:val="20"/>
          <w:lang w:val="fr-BE" w:eastAsia="en-GB"/>
        </w:rPr>
        <w:t xml:space="preserve"> </w:t>
      </w:r>
      <w:proofErr w:type="gramStart"/>
      <w:r w:rsidRPr="001B44D3">
        <w:rPr>
          <w:szCs w:val="20"/>
          <w:lang w:val="fr-BE" w:eastAsia="en-GB"/>
        </w:rPr>
        <w:t>explosible</w:t>
      </w:r>
      <w:proofErr w:type="gramEnd"/>
      <w:r w:rsidRPr="001B44D3">
        <w:rPr>
          <w:szCs w:val="20"/>
          <w:lang w:val="fr-BE" w:eastAsia="en-GB"/>
        </w:rPr>
        <w:t xml:space="preserve"> instable</w:t>
      </w:r>
      <w:r w:rsidR="0085389F">
        <w:rPr>
          <w:szCs w:val="20"/>
          <w:lang w:val="fr-BE" w:eastAsia="en-GB"/>
        </w:rPr>
        <w:t xml:space="preserve"> </w:t>
      </w:r>
      <w:r w:rsidRPr="001B44D3">
        <w:rPr>
          <w:szCs w:val="20"/>
          <w:lang w:val="fr-BE" w:eastAsia="en-GB"/>
        </w:rPr>
        <w:t>»: une substance explosible ou un mélange explosible thermiquement instable et/ou trop</w:t>
      </w:r>
      <w:r w:rsidR="007905CD" w:rsidRPr="001B44D3">
        <w:rPr>
          <w:szCs w:val="20"/>
          <w:lang w:val="fr-BE" w:eastAsia="en-GB"/>
        </w:rPr>
        <w:t xml:space="preserve"> </w:t>
      </w:r>
      <w:r w:rsidRPr="001B44D3">
        <w:rPr>
          <w:szCs w:val="20"/>
          <w:lang w:val="fr-BE" w:eastAsia="en-GB"/>
        </w:rPr>
        <w:t>sensible pour une manipulation, un transport et une utilisation normaux;</w:t>
      </w:r>
    </w:p>
    <w:p w:rsidR="007905CD" w:rsidRPr="001B44D3" w:rsidRDefault="007905CD" w:rsidP="00571359">
      <w:pPr>
        <w:pStyle w:val="Lijstalinea"/>
        <w:rPr>
          <w:szCs w:val="20"/>
          <w:lang w:val="fr-BE" w:eastAsia="en-GB"/>
        </w:rPr>
      </w:pPr>
    </w:p>
    <w:p w:rsidR="00752D22" w:rsidRPr="001B44D3" w:rsidRDefault="00752D22" w:rsidP="00CC24EC">
      <w:pPr>
        <w:pStyle w:val="Lijstalinea"/>
        <w:numPr>
          <w:ilvl w:val="0"/>
          <w:numId w:val="17"/>
        </w:numPr>
        <w:autoSpaceDE w:val="0"/>
        <w:autoSpaceDN w:val="0"/>
        <w:adjustRightInd w:val="0"/>
        <w:ind w:left="708"/>
        <w:rPr>
          <w:szCs w:val="20"/>
          <w:lang w:val="fr-BE" w:eastAsia="en-GB"/>
        </w:rPr>
      </w:pPr>
      <w:r w:rsidRPr="001B44D3">
        <w:rPr>
          <w:szCs w:val="20"/>
          <w:lang w:val="fr-BE" w:eastAsia="en-GB"/>
        </w:rPr>
        <w:t>«</w:t>
      </w:r>
      <w:r w:rsidR="0085389F">
        <w:rPr>
          <w:szCs w:val="20"/>
          <w:lang w:val="fr-BE" w:eastAsia="en-GB"/>
        </w:rPr>
        <w:t xml:space="preserve"> </w:t>
      </w:r>
      <w:proofErr w:type="gramStart"/>
      <w:r w:rsidRPr="001B44D3">
        <w:rPr>
          <w:szCs w:val="20"/>
          <w:lang w:val="fr-BE" w:eastAsia="en-GB"/>
        </w:rPr>
        <w:t>objet</w:t>
      </w:r>
      <w:proofErr w:type="gramEnd"/>
      <w:r w:rsidRPr="001B44D3">
        <w:rPr>
          <w:szCs w:val="20"/>
          <w:lang w:val="fr-BE" w:eastAsia="en-GB"/>
        </w:rPr>
        <w:t xml:space="preserve"> explosible</w:t>
      </w:r>
      <w:r w:rsidR="0085389F">
        <w:rPr>
          <w:szCs w:val="20"/>
          <w:lang w:val="fr-BE" w:eastAsia="en-GB"/>
        </w:rPr>
        <w:t xml:space="preserve"> </w:t>
      </w:r>
      <w:r w:rsidRPr="001B44D3">
        <w:rPr>
          <w:szCs w:val="20"/>
          <w:lang w:val="fr-BE" w:eastAsia="en-GB"/>
        </w:rPr>
        <w:t>»: un objet contenant une ou plusieurs substances explosibles ou un ou plusieurs mélanges de</w:t>
      </w:r>
      <w:r w:rsidR="007905CD" w:rsidRPr="001B44D3">
        <w:rPr>
          <w:szCs w:val="20"/>
          <w:lang w:val="fr-BE" w:eastAsia="en-GB"/>
        </w:rPr>
        <w:t xml:space="preserve"> </w:t>
      </w:r>
      <w:r w:rsidRPr="001B44D3">
        <w:rPr>
          <w:szCs w:val="20"/>
          <w:lang w:val="fr-BE" w:eastAsia="en-GB"/>
        </w:rPr>
        <w:t>ces substances;</w:t>
      </w:r>
    </w:p>
    <w:p w:rsidR="00752D22" w:rsidRPr="001B44D3" w:rsidRDefault="00752D22" w:rsidP="00752D22">
      <w:pPr>
        <w:autoSpaceDE w:val="0"/>
        <w:autoSpaceDN w:val="0"/>
        <w:adjustRightInd w:val="0"/>
        <w:ind w:left="708"/>
        <w:jc w:val="left"/>
      </w:pPr>
    </w:p>
    <w:p w:rsidR="007905CD" w:rsidRPr="001B44D3" w:rsidRDefault="00752D22" w:rsidP="00CC24EC">
      <w:pPr>
        <w:pStyle w:val="Lijstalinea"/>
        <w:numPr>
          <w:ilvl w:val="0"/>
          <w:numId w:val="17"/>
        </w:numPr>
        <w:autoSpaceDE w:val="0"/>
        <w:autoSpaceDN w:val="0"/>
        <w:adjustRightInd w:val="0"/>
        <w:rPr>
          <w:szCs w:val="20"/>
          <w:lang w:val="fr-BE" w:eastAsia="en-GB"/>
        </w:rPr>
      </w:pPr>
      <w:r w:rsidRPr="001B44D3">
        <w:rPr>
          <w:szCs w:val="20"/>
          <w:lang w:val="fr-BE" w:eastAsia="en-GB"/>
        </w:rPr>
        <w:t>«</w:t>
      </w:r>
      <w:r w:rsidR="0085389F">
        <w:rPr>
          <w:szCs w:val="20"/>
          <w:lang w:val="fr-BE" w:eastAsia="en-GB"/>
        </w:rPr>
        <w:t xml:space="preserve"> </w:t>
      </w:r>
      <w:proofErr w:type="gramStart"/>
      <w:r w:rsidRPr="001B44D3">
        <w:rPr>
          <w:szCs w:val="20"/>
          <w:lang w:val="fr-BE" w:eastAsia="en-GB"/>
        </w:rPr>
        <w:t>objet</w:t>
      </w:r>
      <w:proofErr w:type="gramEnd"/>
      <w:r w:rsidRPr="001B44D3">
        <w:rPr>
          <w:szCs w:val="20"/>
          <w:lang w:val="fr-BE" w:eastAsia="en-GB"/>
        </w:rPr>
        <w:t xml:space="preserve"> pyrotechnique</w:t>
      </w:r>
      <w:r w:rsidR="0085389F">
        <w:rPr>
          <w:szCs w:val="20"/>
          <w:lang w:val="fr-BE" w:eastAsia="en-GB"/>
        </w:rPr>
        <w:t xml:space="preserve"> </w:t>
      </w:r>
      <w:r w:rsidRPr="001B44D3">
        <w:rPr>
          <w:szCs w:val="20"/>
          <w:lang w:val="fr-BE" w:eastAsia="en-GB"/>
        </w:rPr>
        <w:t>»: un objet contenant une ou plusieurs substances pyrotechniques ou un ou plusieurs</w:t>
      </w:r>
      <w:r w:rsidR="007905CD" w:rsidRPr="001B44D3">
        <w:rPr>
          <w:szCs w:val="20"/>
          <w:lang w:val="fr-BE" w:eastAsia="en-GB"/>
        </w:rPr>
        <w:t xml:space="preserve"> </w:t>
      </w:r>
      <w:r w:rsidRPr="001B44D3">
        <w:rPr>
          <w:szCs w:val="20"/>
          <w:lang w:val="fr-BE" w:eastAsia="en-GB"/>
        </w:rPr>
        <w:t>mélanges de ces substances;</w:t>
      </w:r>
    </w:p>
    <w:p w:rsidR="007905CD" w:rsidRPr="001B44D3" w:rsidRDefault="007905CD" w:rsidP="00571359">
      <w:pPr>
        <w:pStyle w:val="Lijstalinea"/>
        <w:rPr>
          <w:szCs w:val="20"/>
          <w:lang w:val="fr-BE" w:eastAsia="en-GB"/>
        </w:rPr>
      </w:pPr>
    </w:p>
    <w:p w:rsidR="00752D22" w:rsidRPr="001B44D3" w:rsidRDefault="00752D22" w:rsidP="00CC24EC">
      <w:pPr>
        <w:pStyle w:val="Lijstalinea"/>
        <w:numPr>
          <w:ilvl w:val="0"/>
          <w:numId w:val="17"/>
        </w:numPr>
        <w:autoSpaceDE w:val="0"/>
        <w:autoSpaceDN w:val="0"/>
        <w:adjustRightInd w:val="0"/>
        <w:ind w:left="708"/>
        <w:rPr>
          <w:szCs w:val="20"/>
          <w:lang w:val="fr-BE" w:eastAsia="en-GB"/>
        </w:rPr>
      </w:pPr>
      <w:r w:rsidRPr="001B44D3">
        <w:rPr>
          <w:szCs w:val="20"/>
          <w:lang w:val="fr-BE" w:eastAsia="en-GB"/>
        </w:rPr>
        <w:t>«</w:t>
      </w:r>
      <w:r w:rsidR="0085389F">
        <w:rPr>
          <w:szCs w:val="20"/>
          <w:lang w:val="fr-BE" w:eastAsia="en-GB"/>
        </w:rPr>
        <w:t xml:space="preserve"> </w:t>
      </w:r>
      <w:r w:rsidRPr="001B44D3">
        <w:rPr>
          <w:szCs w:val="20"/>
          <w:lang w:val="fr-BE" w:eastAsia="en-GB"/>
        </w:rPr>
        <w:t>explosible intentionnel</w:t>
      </w:r>
      <w:r w:rsidR="0085389F">
        <w:rPr>
          <w:szCs w:val="20"/>
          <w:lang w:val="fr-BE" w:eastAsia="en-GB"/>
        </w:rPr>
        <w:t xml:space="preserve"> </w:t>
      </w:r>
      <w:r w:rsidRPr="001B44D3">
        <w:rPr>
          <w:szCs w:val="20"/>
          <w:lang w:val="fr-BE" w:eastAsia="en-GB"/>
        </w:rPr>
        <w:t>»: une substance, un mélange ou un objet qui est fabriqué(e) en vue de produire un</w:t>
      </w:r>
      <w:r w:rsidR="007905CD" w:rsidRPr="001B44D3">
        <w:rPr>
          <w:szCs w:val="20"/>
          <w:lang w:val="fr-BE" w:eastAsia="en-GB"/>
        </w:rPr>
        <w:t xml:space="preserve"> </w:t>
      </w:r>
      <w:r w:rsidRPr="001B44D3">
        <w:rPr>
          <w:szCs w:val="20"/>
          <w:lang w:val="fr-BE" w:eastAsia="en-GB"/>
        </w:rPr>
        <w:t>effet pratique par explosion ou pyrotechnique.</w:t>
      </w:r>
    </w:p>
    <w:p w:rsidR="00752D22" w:rsidRPr="00752D22" w:rsidRDefault="00752D22" w:rsidP="00752D22">
      <w:pPr>
        <w:autoSpaceDE w:val="0"/>
        <w:autoSpaceDN w:val="0"/>
        <w:adjustRightInd w:val="0"/>
        <w:ind w:left="708"/>
        <w:jc w:val="left"/>
        <w:rPr>
          <w:rFonts w:ascii="EUAlbertina" w:eastAsia="Calibri" w:hAnsi="EUAlbertina" w:cs="EUAlbertina"/>
          <w:i/>
          <w:sz w:val="22"/>
          <w:szCs w:val="22"/>
          <w:lang w:eastAsia="en-US"/>
        </w:rPr>
      </w:pPr>
    </w:p>
    <w:p w:rsidR="001B44D3" w:rsidRPr="00752D22" w:rsidRDefault="001B44D3" w:rsidP="00752D22">
      <w:pPr>
        <w:autoSpaceDE w:val="0"/>
        <w:autoSpaceDN w:val="0"/>
        <w:adjustRightInd w:val="0"/>
        <w:ind w:left="708"/>
        <w:jc w:val="left"/>
        <w:rPr>
          <w:rFonts w:ascii="EUAlbertina" w:eastAsia="Calibri" w:hAnsi="EUAlbertina" w:cs="EUAlbertina"/>
          <w:i/>
          <w:sz w:val="22"/>
          <w:szCs w:val="22"/>
          <w:lang w:eastAsia="en-US"/>
        </w:rPr>
      </w:pPr>
    </w:p>
    <w:p w:rsidR="00590F0F" w:rsidRPr="001B44D3" w:rsidRDefault="0090587B" w:rsidP="001B44D3">
      <w:pPr>
        <w:autoSpaceDE w:val="0"/>
        <w:autoSpaceDN w:val="0"/>
        <w:adjustRightInd w:val="0"/>
        <w:ind w:left="708"/>
        <w:jc w:val="left"/>
        <w:rPr>
          <w:rFonts w:ascii="EUAlbertina_Bold_Italic" w:eastAsia="Calibri" w:hAnsi="EUAlbertina_Bold_Italic" w:cs="EUAlbertina_Bold_Italic"/>
          <w:b/>
          <w:bCs/>
          <w:i/>
          <w:iCs/>
          <w:sz w:val="24"/>
          <w:szCs w:val="24"/>
          <w:lang w:eastAsia="en-US"/>
        </w:rPr>
      </w:pPr>
      <w:r>
        <w:rPr>
          <w:rFonts w:ascii="EUAlbertina" w:eastAsia="Calibri" w:hAnsi="EUAlbertina" w:cs="EUAlbertina"/>
          <w:sz w:val="24"/>
          <w:szCs w:val="24"/>
          <w:lang w:eastAsia="en-US"/>
        </w:rPr>
        <w:t>A.</w:t>
      </w:r>
      <w:r w:rsidR="00752D22" w:rsidRPr="00571359">
        <w:rPr>
          <w:rFonts w:ascii="EUAlbertina" w:eastAsia="Calibri" w:hAnsi="EUAlbertina" w:cs="EUAlbertina"/>
          <w:sz w:val="24"/>
          <w:szCs w:val="24"/>
          <w:lang w:eastAsia="en-US"/>
        </w:rPr>
        <w:t xml:space="preserve"> </w:t>
      </w:r>
      <w:r w:rsidR="00752D22" w:rsidRPr="00571359">
        <w:rPr>
          <w:rFonts w:ascii="EUAlbertina_Bold_Italic" w:eastAsia="Calibri" w:hAnsi="EUAlbertina_Bold_Italic" w:cs="EUAlbertina_Bold_Italic"/>
          <w:b/>
          <w:bCs/>
          <w:i/>
          <w:iCs/>
          <w:sz w:val="24"/>
          <w:szCs w:val="24"/>
          <w:lang w:eastAsia="en-US"/>
        </w:rPr>
        <w:t>Critères de classification</w:t>
      </w:r>
    </w:p>
    <w:p w:rsidR="003034DF" w:rsidRDefault="003034DF" w:rsidP="003034DF"/>
    <w:p w:rsidR="006A2E1E" w:rsidRPr="008E1EE2" w:rsidRDefault="006A2E1E" w:rsidP="001B44D3">
      <w:pPr>
        <w:autoSpaceDE w:val="0"/>
        <w:autoSpaceDN w:val="0"/>
        <w:adjustRightInd w:val="0"/>
      </w:pPr>
      <w:r w:rsidRPr="00571359">
        <w:t xml:space="preserve">La classification des substances, mélanges et objets dans la classe de danger des explosibles </w:t>
      </w:r>
      <w:r w:rsidR="00590F0F">
        <w:t>(classe 1</w:t>
      </w:r>
      <w:r w:rsidR="00776B9B">
        <w:t xml:space="preserve"> suivant la classification au transport</w:t>
      </w:r>
      <w:r w:rsidR="00590F0F">
        <w:t xml:space="preserve">) </w:t>
      </w:r>
      <w:r w:rsidRPr="00571359">
        <w:t>et l'affectation</w:t>
      </w:r>
      <w:r>
        <w:t xml:space="preserve"> </w:t>
      </w:r>
      <w:r w:rsidRPr="008E1EE2">
        <w:t>ultérieure à une division s'effectuent selon une procédure très complexe en trois étapes</w:t>
      </w:r>
      <w:r>
        <w:t xml:space="preserve">. </w:t>
      </w:r>
      <w:r w:rsidRPr="008E1EE2">
        <w:t>Il y a lieu de se référer</w:t>
      </w:r>
      <w:r>
        <w:t xml:space="preserve"> </w:t>
      </w:r>
      <w:r w:rsidRPr="008E1EE2">
        <w:t>à la première partie des Recommandations relatives au transport des marchandises dangereuses, Manuel</w:t>
      </w:r>
      <w:r>
        <w:t xml:space="preserve"> </w:t>
      </w:r>
      <w:r w:rsidRPr="008E1EE2">
        <w:t>d'épreuves et de critères des Nations unies</w:t>
      </w:r>
      <w:r>
        <w:t>.</w:t>
      </w:r>
    </w:p>
    <w:p w:rsidR="006A2E1E" w:rsidRPr="00571359" w:rsidRDefault="006A2E1E" w:rsidP="001B44D3">
      <w:pPr>
        <w:autoSpaceDE w:val="0"/>
        <w:autoSpaceDN w:val="0"/>
        <w:adjustRightInd w:val="0"/>
      </w:pPr>
    </w:p>
    <w:p w:rsidR="00435792" w:rsidRPr="008E1EE2" w:rsidRDefault="006A2E1E" w:rsidP="001B44D3">
      <w:pPr>
        <w:autoSpaceDE w:val="0"/>
        <w:autoSpaceDN w:val="0"/>
        <w:adjustRightInd w:val="0"/>
      </w:pPr>
      <w:r w:rsidRPr="00571359">
        <w:t xml:space="preserve">La première étape consiste à déterminer si la substance ou le mélange </w:t>
      </w:r>
      <w:r w:rsidR="00681753">
        <w:t>a</w:t>
      </w:r>
      <w:r w:rsidR="00681753" w:rsidRPr="00571359">
        <w:t xml:space="preserve"> </w:t>
      </w:r>
      <w:r w:rsidRPr="00571359">
        <w:t>des propriétés explosibles (épreuves</w:t>
      </w:r>
      <w:r>
        <w:t xml:space="preserve"> </w:t>
      </w:r>
      <w:r w:rsidRPr="008E1EE2">
        <w:t>de la série 1). La deuxième étape consiste à déterminer si la substance ou le mélange relève effectivement de</w:t>
      </w:r>
      <w:r>
        <w:t xml:space="preserve"> </w:t>
      </w:r>
      <w:r w:rsidRPr="008E1EE2">
        <w:t>la classe 1 (épreuves des séries 2 à 4) et la troisième à l'affecter à une division de danger particulière (épreuves</w:t>
      </w:r>
      <w:r>
        <w:t xml:space="preserve"> </w:t>
      </w:r>
      <w:r w:rsidRPr="008E1EE2">
        <w:t>des séries 5 à 7). Les épreuves de la série 8 permettent d'évaluer si une substance ou un mélange candidat</w:t>
      </w:r>
      <w:r w:rsidR="00435792">
        <w:t xml:space="preserve"> </w:t>
      </w:r>
      <w:r w:rsidR="00435792" w:rsidRPr="008E1EE2">
        <w:t>pour la classe «</w:t>
      </w:r>
      <w:r w:rsidR="0085389F">
        <w:t xml:space="preserve"> </w:t>
      </w:r>
      <w:r w:rsidR="00435792" w:rsidRPr="008E1EE2">
        <w:t>émulsion, suspension ou gel de nitrate d'ammonium, servant à la fabrication d'explosibles de</w:t>
      </w:r>
      <w:r w:rsidR="00435792">
        <w:t xml:space="preserve"> </w:t>
      </w:r>
      <w:r w:rsidR="00435792" w:rsidRPr="008E1EE2">
        <w:t>mine (ENA)</w:t>
      </w:r>
      <w:r w:rsidR="0085389F">
        <w:t xml:space="preserve"> </w:t>
      </w:r>
      <w:r w:rsidR="00435792" w:rsidRPr="008E1EE2">
        <w:t>» est suffisamment insensible pour être classée comme liquide comburant (section 2.13) ou</w:t>
      </w:r>
      <w:r w:rsidR="00435792">
        <w:t xml:space="preserve"> </w:t>
      </w:r>
      <w:r w:rsidR="00435792" w:rsidRPr="008E1EE2">
        <w:t>comme matière solide comburante (section 2.14).</w:t>
      </w:r>
    </w:p>
    <w:p w:rsidR="00435792" w:rsidRPr="008E1EE2" w:rsidRDefault="00435792" w:rsidP="001B44D3">
      <w:pPr>
        <w:autoSpaceDE w:val="0"/>
        <w:autoSpaceDN w:val="0"/>
        <w:adjustRightInd w:val="0"/>
      </w:pPr>
    </w:p>
    <w:p w:rsidR="00435792" w:rsidRPr="008E1EE2" w:rsidRDefault="006A2E1E" w:rsidP="001B44D3">
      <w:pPr>
        <w:autoSpaceDE w:val="0"/>
        <w:autoSpaceDN w:val="0"/>
        <w:adjustRightInd w:val="0"/>
      </w:pPr>
      <w:r w:rsidRPr="00571359">
        <w:t>Certaines substances explosibles ou certains mélanges explosibles mouillés avec de l'eau ou des alcools ou</w:t>
      </w:r>
      <w:r w:rsidR="00435792">
        <w:t xml:space="preserve"> </w:t>
      </w:r>
      <w:r w:rsidR="00435792" w:rsidRPr="008E1EE2">
        <w:t>dilués avec d'autres substances afin de neutraliser leurs propriétés explosibles peuvent être traités</w:t>
      </w:r>
      <w:r w:rsidR="00435792">
        <w:t xml:space="preserve"> </w:t>
      </w:r>
      <w:r w:rsidR="00435792" w:rsidRPr="008E1EE2">
        <w:t>différemment en ce qui concerne la classification et d'autres classes de dangers peuvent s'appliquer, selon</w:t>
      </w:r>
      <w:r w:rsidR="00435792">
        <w:t xml:space="preserve"> </w:t>
      </w:r>
      <w:r w:rsidR="00435792" w:rsidRPr="008E1EE2">
        <w:t>leurs propriétés physiques (voir aussi annexe II, section 1.1</w:t>
      </w:r>
      <w:r w:rsidR="00435792">
        <w:t xml:space="preserve"> du règlement CLP</w:t>
      </w:r>
      <w:r w:rsidR="00435792" w:rsidRPr="008E1EE2">
        <w:t>).</w:t>
      </w:r>
    </w:p>
    <w:p w:rsidR="006A2E1E" w:rsidRPr="00571359" w:rsidRDefault="006A2E1E" w:rsidP="006A2E1E">
      <w:pPr>
        <w:autoSpaceDE w:val="0"/>
        <w:autoSpaceDN w:val="0"/>
        <w:adjustRightInd w:val="0"/>
        <w:jc w:val="left"/>
      </w:pPr>
    </w:p>
    <w:p w:rsidR="00435792" w:rsidRPr="008E1EE2" w:rsidRDefault="006A2E1E" w:rsidP="001B44D3">
      <w:pPr>
        <w:autoSpaceDE w:val="0"/>
        <w:autoSpaceDN w:val="0"/>
        <w:adjustRightInd w:val="0"/>
      </w:pPr>
      <w:r w:rsidRPr="00571359">
        <w:t>Certains dangers physiques (dus aux propriétés explosibles) peuvent être modifiés par dilution, comme c'est le</w:t>
      </w:r>
      <w:r w:rsidR="00435792">
        <w:t xml:space="preserve"> </w:t>
      </w:r>
      <w:r w:rsidR="00435792" w:rsidRPr="008E1EE2">
        <w:t>cas pour les explosibles flegmatisés</w:t>
      </w:r>
      <w:r w:rsidR="004F1272">
        <w:t>/désensibilisés</w:t>
      </w:r>
      <w:r w:rsidR="00435792" w:rsidRPr="008E1EE2">
        <w:t>, par incorporation dans un mélange ou un objet, par emballage ou par</w:t>
      </w:r>
      <w:r w:rsidR="00435792">
        <w:t xml:space="preserve"> </w:t>
      </w:r>
      <w:r w:rsidR="00435792" w:rsidRPr="008E1EE2">
        <w:t>d'autres moyens.</w:t>
      </w:r>
    </w:p>
    <w:p w:rsidR="006A2E1E" w:rsidRPr="00571359" w:rsidRDefault="006A2E1E" w:rsidP="001B44D3">
      <w:pPr>
        <w:autoSpaceDE w:val="0"/>
        <w:autoSpaceDN w:val="0"/>
        <w:adjustRightInd w:val="0"/>
      </w:pPr>
    </w:p>
    <w:p w:rsidR="00752D22" w:rsidRDefault="00752D22" w:rsidP="001B44D3">
      <w:pPr>
        <w:autoSpaceDE w:val="0"/>
        <w:autoSpaceDN w:val="0"/>
        <w:adjustRightInd w:val="0"/>
      </w:pPr>
      <w:r w:rsidRPr="00EF52E2">
        <w:t xml:space="preserve">Les </w:t>
      </w:r>
      <w:r w:rsidRPr="00571359">
        <w:t xml:space="preserve">substances, mélanges et objets de cette classe </w:t>
      </w:r>
      <w:r w:rsidR="003034DF" w:rsidRPr="00571359">
        <w:t>« </w:t>
      </w:r>
      <w:r w:rsidR="00EF52E2" w:rsidRPr="00EF52E2">
        <w:t>explosible</w:t>
      </w:r>
      <w:r w:rsidR="003034DF" w:rsidRPr="00571359">
        <w:t> »</w:t>
      </w:r>
      <w:r w:rsidR="00EF52E2">
        <w:t xml:space="preserve"> dans le règlement CLP</w:t>
      </w:r>
      <w:r w:rsidR="003034DF" w:rsidRPr="00571359">
        <w:t xml:space="preserve"> </w:t>
      </w:r>
      <w:r w:rsidRPr="00571359">
        <w:t xml:space="preserve">sont </w:t>
      </w:r>
      <w:r w:rsidR="00435792">
        <w:t xml:space="preserve">donc </w:t>
      </w:r>
      <w:r w:rsidRPr="00571359">
        <w:t xml:space="preserve">classés comme explosibles instables sur </w:t>
      </w:r>
      <w:r w:rsidRPr="00EF52E2">
        <w:t>base</w:t>
      </w:r>
      <w:r w:rsidR="00EF52E2">
        <w:t xml:space="preserve"> </w:t>
      </w:r>
      <w:r w:rsidR="003034DF" w:rsidRPr="00571359">
        <w:t>d</w:t>
      </w:r>
      <w:r w:rsidRPr="00571359">
        <w:t xml:space="preserve">es méthodes d'essais décrites dans la première partie </w:t>
      </w:r>
      <w:r w:rsidR="00681753">
        <w:rPr>
          <w:lang w:val="fr-FR"/>
        </w:rPr>
        <w:t>du Manuel d'épreuves et des critères des Recommandations relatives au transport des marchandises dangereuses des Nations Unies.</w:t>
      </w:r>
    </w:p>
    <w:p w:rsidR="00EF52E2" w:rsidRPr="00571359" w:rsidRDefault="00EF52E2" w:rsidP="001B44D3">
      <w:pPr>
        <w:autoSpaceDE w:val="0"/>
        <w:autoSpaceDN w:val="0"/>
        <w:adjustRightInd w:val="0"/>
      </w:pPr>
    </w:p>
    <w:p w:rsidR="00752D22" w:rsidRPr="00571359" w:rsidRDefault="00752D22" w:rsidP="001B44D3">
      <w:pPr>
        <w:autoSpaceDE w:val="0"/>
        <w:autoSpaceDN w:val="0"/>
        <w:adjustRightInd w:val="0"/>
      </w:pPr>
      <w:r w:rsidRPr="00EF52E2">
        <w:t xml:space="preserve">Les </w:t>
      </w:r>
      <w:r w:rsidRPr="00571359">
        <w:t xml:space="preserve">substances, mélanges et objets de cette classe </w:t>
      </w:r>
      <w:r w:rsidR="00EF52E2">
        <w:t xml:space="preserve">« explosible » </w:t>
      </w:r>
      <w:r w:rsidRPr="00571359">
        <w:t>qui ne sont pas classés comme explosibles instables sont</w:t>
      </w:r>
      <w:r w:rsidR="00EF52E2">
        <w:t xml:space="preserve"> </w:t>
      </w:r>
      <w:r w:rsidRPr="00571359">
        <w:t>affectés à l'une des six divisions suivantes en fonction du type de danger qu'ils représentent</w:t>
      </w:r>
      <w:r w:rsidR="00A31981">
        <w:t xml:space="preserve"> (et ce sur base </w:t>
      </w:r>
      <w:r w:rsidR="00A31981" w:rsidRPr="008E1EE2">
        <w:t xml:space="preserve">des méthodes d'essais </w:t>
      </w:r>
      <w:r w:rsidR="00A31981">
        <w:t xml:space="preserve">des séries 2 à 8 </w:t>
      </w:r>
      <w:r w:rsidR="00A31981" w:rsidRPr="008E1EE2">
        <w:t xml:space="preserve">décrites dans la première partie </w:t>
      </w:r>
      <w:r w:rsidR="0053644D">
        <w:rPr>
          <w:lang w:val="fr-FR"/>
        </w:rPr>
        <w:t>du Manuel d'épreuves et des critères des Recommandations relatives au transport des marchandises dangereuses des Nations Unies.</w:t>
      </w:r>
      <w:r w:rsidR="00A31981">
        <w:t>)</w:t>
      </w:r>
      <w:r w:rsidR="000976B5">
        <w:t xml:space="preserve"> </w:t>
      </w:r>
      <w:r w:rsidRPr="00571359">
        <w:t>:</w:t>
      </w:r>
    </w:p>
    <w:p w:rsidR="00752D22" w:rsidRPr="00571359" w:rsidRDefault="00752D22" w:rsidP="001B44D3">
      <w:pPr>
        <w:autoSpaceDE w:val="0"/>
        <w:autoSpaceDN w:val="0"/>
        <w:adjustRightInd w:val="0"/>
      </w:pPr>
    </w:p>
    <w:p w:rsidR="00752D22" w:rsidRPr="00571359" w:rsidRDefault="00752D22" w:rsidP="001B44D3">
      <w:pPr>
        <w:autoSpaceDE w:val="0"/>
        <w:autoSpaceDN w:val="0"/>
        <w:adjustRightInd w:val="0"/>
      </w:pPr>
      <w:r w:rsidRPr="00571359">
        <w:t xml:space="preserve">a) Division 1.1: Substances, mélanges et objets présentant un danger d'explosion en masse (par </w:t>
      </w:r>
      <w:r w:rsidR="00EF52E2">
        <w:t xml:space="preserve">explosion en masse, on </w:t>
      </w:r>
      <w:r w:rsidR="0053644D">
        <w:t xml:space="preserve">entend </w:t>
      </w:r>
      <w:r w:rsidR="00EF52E2">
        <w:t>l’explosion</w:t>
      </w:r>
      <w:r w:rsidRPr="001B7809">
        <w:t xml:space="preserve"> </w:t>
      </w:r>
      <w:r w:rsidRPr="00571359">
        <w:t>pratiquement instantanée de la quasi-totalité de la quantité présente)</w:t>
      </w:r>
      <w:r w:rsidR="000976B5">
        <w:t xml:space="preserve"> </w:t>
      </w:r>
      <w:r w:rsidRPr="00571359">
        <w:t>;</w:t>
      </w:r>
    </w:p>
    <w:p w:rsidR="00752D22" w:rsidRPr="00571359" w:rsidRDefault="00752D22" w:rsidP="001B44D3">
      <w:pPr>
        <w:autoSpaceDE w:val="0"/>
        <w:autoSpaceDN w:val="0"/>
        <w:adjustRightInd w:val="0"/>
      </w:pPr>
    </w:p>
    <w:p w:rsidR="00752D22" w:rsidRPr="001B7809" w:rsidRDefault="00752D22" w:rsidP="001B44D3">
      <w:pPr>
        <w:autoSpaceDE w:val="0"/>
        <w:autoSpaceDN w:val="0"/>
        <w:adjustRightInd w:val="0"/>
      </w:pPr>
      <w:r w:rsidRPr="00571359">
        <w:t>b) Division 1.2: Substances, mélanges et objets présentant un danger de projection</w:t>
      </w:r>
      <w:r w:rsidR="0053644D">
        <w:t>s</w:t>
      </w:r>
      <w:r w:rsidRPr="00571359">
        <w:t xml:space="preserve"> sans </w:t>
      </w:r>
      <w:r w:rsidRPr="001B7809">
        <w:t>danger</w:t>
      </w:r>
      <w:r w:rsidR="001B7809">
        <w:t xml:space="preserve"> d’explosion en masse ;</w:t>
      </w:r>
    </w:p>
    <w:p w:rsidR="00752D22" w:rsidRPr="00571359" w:rsidRDefault="00752D22" w:rsidP="001B44D3">
      <w:pPr>
        <w:autoSpaceDE w:val="0"/>
        <w:autoSpaceDN w:val="0"/>
        <w:adjustRightInd w:val="0"/>
      </w:pPr>
    </w:p>
    <w:p w:rsidR="001B7809" w:rsidRPr="008E1EE2" w:rsidRDefault="00752D22" w:rsidP="001B44D3">
      <w:pPr>
        <w:autoSpaceDE w:val="0"/>
        <w:autoSpaceDN w:val="0"/>
        <w:adjustRightInd w:val="0"/>
      </w:pPr>
      <w:r w:rsidRPr="00571359">
        <w:t>c) Division 1.3: Substances, mélanges et objets présentant un danger d'incendie avec un danger mineur</w:t>
      </w:r>
      <w:r w:rsidR="001B7809">
        <w:t xml:space="preserve"> </w:t>
      </w:r>
      <w:r w:rsidR="001B7809" w:rsidRPr="008E1EE2">
        <w:t>d'effets de souffle ou de projection ou des deux, sans danger d'explosion en masse, à savoir</w:t>
      </w:r>
      <w:r w:rsidR="000976B5">
        <w:t xml:space="preserve"> </w:t>
      </w:r>
      <w:r w:rsidR="001B7809" w:rsidRPr="008E1EE2">
        <w:t>:</w:t>
      </w:r>
    </w:p>
    <w:p w:rsidR="00752D22" w:rsidRPr="00571359" w:rsidRDefault="00752D22" w:rsidP="001B44D3">
      <w:pPr>
        <w:autoSpaceDE w:val="0"/>
        <w:autoSpaceDN w:val="0"/>
        <w:adjustRightInd w:val="0"/>
        <w:ind w:left="720"/>
      </w:pPr>
      <w:r w:rsidRPr="00571359">
        <w:t xml:space="preserve">i) substances, mélanges et objets dont la combustion produit un rayonnement thermique </w:t>
      </w:r>
      <w:r w:rsidR="000976B5" w:rsidRPr="00571359">
        <w:t>intense ;</w:t>
      </w:r>
    </w:p>
    <w:p w:rsidR="00752D22" w:rsidRPr="00571359" w:rsidRDefault="00752D22" w:rsidP="001B44D3">
      <w:pPr>
        <w:autoSpaceDE w:val="0"/>
        <w:autoSpaceDN w:val="0"/>
        <w:adjustRightInd w:val="0"/>
        <w:ind w:left="720"/>
      </w:pPr>
      <w:r w:rsidRPr="00571359">
        <w:t>ii) substances, mélanges et objets qui brûlent les uns après les autres avec des effets mineurs de</w:t>
      </w:r>
      <w:r w:rsidR="001B7809">
        <w:t xml:space="preserve"> </w:t>
      </w:r>
      <w:r w:rsidR="001B7809" w:rsidRPr="008E1EE2">
        <w:t>souffle ou de projection ou des deux</w:t>
      </w:r>
      <w:r w:rsidR="000976B5">
        <w:t xml:space="preserve"> </w:t>
      </w:r>
      <w:r w:rsidR="001B7809" w:rsidRPr="008E1EE2">
        <w:t>;</w:t>
      </w:r>
    </w:p>
    <w:p w:rsidR="00752D22" w:rsidRPr="001B7809" w:rsidRDefault="00752D22" w:rsidP="001B44D3">
      <w:pPr>
        <w:autoSpaceDE w:val="0"/>
        <w:autoSpaceDN w:val="0"/>
        <w:adjustRightInd w:val="0"/>
      </w:pPr>
    </w:p>
    <w:p w:rsidR="00752D22" w:rsidRPr="00571359" w:rsidRDefault="00752D22" w:rsidP="001B44D3">
      <w:pPr>
        <w:autoSpaceDE w:val="0"/>
        <w:autoSpaceDN w:val="0"/>
        <w:adjustRightInd w:val="0"/>
      </w:pPr>
    </w:p>
    <w:p w:rsidR="00752D22" w:rsidRPr="00571359" w:rsidRDefault="00752D22" w:rsidP="001B44D3">
      <w:pPr>
        <w:autoSpaceDE w:val="0"/>
        <w:autoSpaceDN w:val="0"/>
        <w:adjustRightInd w:val="0"/>
      </w:pPr>
      <w:r w:rsidRPr="00571359">
        <w:t xml:space="preserve">d) Division 1.4: Substances, mélanges et objets ne présentant pas de danger notable </w:t>
      </w:r>
      <w:r w:rsidR="000976B5" w:rsidRPr="00571359">
        <w:t>d’explosion :</w:t>
      </w:r>
    </w:p>
    <w:p w:rsidR="00752D22" w:rsidRDefault="00752D22" w:rsidP="00355D77">
      <w:pPr>
        <w:autoSpaceDE w:val="0"/>
        <w:autoSpaceDN w:val="0"/>
        <w:adjustRightInd w:val="0"/>
        <w:ind w:left="709"/>
      </w:pPr>
      <w:r w:rsidRPr="00571359">
        <w:t>— substances, mélanges et objets qui ne présentent qu'un danger mineur en cas d'allumage ou</w:t>
      </w:r>
      <w:r w:rsidR="001B7809">
        <w:t xml:space="preserve"> </w:t>
      </w:r>
      <w:r w:rsidR="001B7809" w:rsidRPr="008E1EE2">
        <w:t>d'amorçage. L'effet demeure en grande partie contenu dans l'emballage et ne cause normalement</w:t>
      </w:r>
      <w:r w:rsidR="001B7809">
        <w:t xml:space="preserve"> </w:t>
      </w:r>
      <w:r w:rsidR="001B7809" w:rsidRPr="008E1EE2">
        <w:t>pas de projections de fragments de taille notable ou à une distance appréciable. Une exposition à</w:t>
      </w:r>
      <w:r w:rsidR="001B7809" w:rsidRPr="001B7809">
        <w:t xml:space="preserve"> </w:t>
      </w:r>
      <w:r w:rsidR="001B7809" w:rsidRPr="008E1EE2">
        <w:t>un feu extérieur ne doit pas causer l'explosion pratiquement instantanée de la quasi-totalité du</w:t>
      </w:r>
      <w:r w:rsidR="001B7809">
        <w:t xml:space="preserve"> </w:t>
      </w:r>
      <w:r w:rsidR="001B7809" w:rsidRPr="008E1EE2">
        <w:t xml:space="preserve">contenu d'un </w:t>
      </w:r>
      <w:r w:rsidR="000976B5" w:rsidRPr="008E1EE2">
        <w:t>colis ;</w:t>
      </w:r>
    </w:p>
    <w:p w:rsidR="00A40F9E" w:rsidRPr="00571359" w:rsidRDefault="00A40F9E" w:rsidP="001B44D3">
      <w:pPr>
        <w:autoSpaceDE w:val="0"/>
        <w:autoSpaceDN w:val="0"/>
        <w:adjustRightInd w:val="0"/>
      </w:pPr>
    </w:p>
    <w:p w:rsidR="00752D22" w:rsidRPr="00571359" w:rsidRDefault="00752D22" w:rsidP="001B44D3">
      <w:pPr>
        <w:autoSpaceDE w:val="0"/>
        <w:autoSpaceDN w:val="0"/>
        <w:adjustRightInd w:val="0"/>
      </w:pPr>
      <w:r w:rsidRPr="00571359">
        <w:t xml:space="preserve">e) Division 1.5: Substances ou mélanges très peu sensibles présentant un danger d'explosion en </w:t>
      </w:r>
      <w:r w:rsidR="000976B5" w:rsidRPr="00571359">
        <w:t>masse :</w:t>
      </w:r>
    </w:p>
    <w:p w:rsidR="00752D22" w:rsidRPr="00571359" w:rsidRDefault="00752D22" w:rsidP="001B44D3">
      <w:pPr>
        <w:autoSpaceDE w:val="0"/>
        <w:autoSpaceDN w:val="0"/>
        <w:adjustRightInd w:val="0"/>
        <w:ind w:left="720"/>
      </w:pPr>
      <w:r w:rsidRPr="00571359">
        <w:t>— substances et mélanges qui présentent un danger d'explosion en masse, mais qui sont si peu</w:t>
      </w:r>
      <w:r w:rsidR="001B7809">
        <w:t xml:space="preserve"> </w:t>
      </w:r>
      <w:r w:rsidR="001B7809" w:rsidRPr="008E1EE2">
        <w:t>sensibles que la probabilité d'amorçage ou de passage de la combustion à la détonation est très</w:t>
      </w:r>
      <w:r w:rsidR="001B7809">
        <w:t xml:space="preserve"> </w:t>
      </w:r>
      <w:r w:rsidR="001B7809" w:rsidRPr="008E1EE2">
        <w:t>faible dans des conditions normales</w:t>
      </w:r>
      <w:r w:rsidR="001B7809">
        <w:t> ;</w:t>
      </w:r>
    </w:p>
    <w:p w:rsidR="00752D22" w:rsidRPr="001B7809" w:rsidRDefault="00752D22" w:rsidP="001B44D3">
      <w:pPr>
        <w:autoSpaceDE w:val="0"/>
        <w:autoSpaceDN w:val="0"/>
        <w:adjustRightInd w:val="0"/>
      </w:pPr>
    </w:p>
    <w:p w:rsidR="00752D22" w:rsidRPr="00571359" w:rsidRDefault="00752D22" w:rsidP="00752D22">
      <w:pPr>
        <w:autoSpaceDE w:val="0"/>
        <w:autoSpaceDN w:val="0"/>
        <w:adjustRightInd w:val="0"/>
        <w:jc w:val="left"/>
      </w:pPr>
      <w:r w:rsidRPr="00571359">
        <w:t xml:space="preserve">f) Division 1.6: Objets très peu sensibles ne présentant pas de danger d'explosion en </w:t>
      </w:r>
      <w:r w:rsidR="000976B5" w:rsidRPr="00571359">
        <w:t>masse :</w:t>
      </w:r>
    </w:p>
    <w:p w:rsidR="00752D22" w:rsidRPr="00571359" w:rsidRDefault="00752D22" w:rsidP="00571359">
      <w:pPr>
        <w:autoSpaceDE w:val="0"/>
        <w:autoSpaceDN w:val="0"/>
        <w:adjustRightInd w:val="0"/>
        <w:ind w:left="720"/>
        <w:jc w:val="left"/>
      </w:pPr>
      <w:r w:rsidRPr="00571359">
        <w:t>— objets qui contiennent uniquement des substances ou des mélanges détonants extrêmement peu</w:t>
      </w:r>
      <w:r w:rsidR="00147AD5">
        <w:t xml:space="preserve"> </w:t>
      </w:r>
      <w:r w:rsidR="00147AD5" w:rsidRPr="008E1EE2">
        <w:t>sensibles et pour lesquels la probabilité d'amorçage ou de propagation accidentels est négligeable</w:t>
      </w:r>
      <w:r w:rsidR="00147AD5">
        <w:t>.</w:t>
      </w:r>
    </w:p>
    <w:p w:rsidR="00752D22" w:rsidRPr="00571359" w:rsidRDefault="00752D22" w:rsidP="00752D22">
      <w:pPr>
        <w:autoSpaceDE w:val="0"/>
        <w:autoSpaceDN w:val="0"/>
        <w:adjustRightInd w:val="0"/>
        <w:jc w:val="left"/>
      </w:pPr>
    </w:p>
    <w:p w:rsidR="00E53031" w:rsidRDefault="00E53031" w:rsidP="00752D22">
      <w:pPr>
        <w:autoSpaceDE w:val="0"/>
        <w:autoSpaceDN w:val="0"/>
        <w:adjustRightInd w:val="0"/>
        <w:jc w:val="left"/>
      </w:pPr>
    </w:p>
    <w:p w:rsidR="00E53031" w:rsidRPr="00E12DA9" w:rsidRDefault="00E53031" w:rsidP="00E53031">
      <w:r w:rsidRPr="00E12DA9">
        <w:t xml:space="preserve">La classe 1 de la classification ONU répartit </w:t>
      </w:r>
      <w:r>
        <w:t xml:space="preserve">donc </w:t>
      </w:r>
      <w:r w:rsidRPr="00E12DA9">
        <w:t xml:space="preserve">les </w:t>
      </w:r>
      <w:r w:rsidR="00176205">
        <w:t xml:space="preserve">matières et objets </w:t>
      </w:r>
      <w:r w:rsidRPr="00E12DA9">
        <w:t>explosi</w:t>
      </w:r>
      <w:r w:rsidR="00176205">
        <w:t>bles</w:t>
      </w:r>
      <w:r w:rsidRPr="00E12DA9">
        <w:t xml:space="preserve"> dans six divisions en fonction de la nature des effets principaux redoutés et de la sensibilité du produit. Ce classement établi au départ pour le </w:t>
      </w:r>
      <w:r>
        <w:t xml:space="preserve">transport est maintenant </w:t>
      </w:r>
      <w:r w:rsidRPr="00E12DA9">
        <w:t xml:space="preserve">utilisé </w:t>
      </w:r>
      <w:r>
        <w:t>également par le règlement CLP</w:t>
      </w:r>
      <w:r w:rsidRPr="00E12DA9">
        <w:t xml:space="preserve"> régissant le stockage.</w:t>
      </w:r>
    </w:p>
    <w:p w:rsidR="00E53031" w:rsidRDefault="00E53031" w:rsidP="00752D22">
      <w:pPr>
        <w:autoSpaceDE w:val="0"/>
        <w:autoSpaceDN w:val="0"/>
        <w:adjustRightInd w:val="0"/>
        <w:jc w:val="left"/>
      </w:pPr>
    </w:p>
    <w:p w:rsidR="00752D22" w:rsidRDefault="00A31981" w:rsidP="00752D22">
      <w:pPr>
        <w:autoSpaceDE w:val="0"/>
        <w:autoSpaceDN w:val="0"/>
        <w:adjustRightInd w:val="0"/>
        <w:jc w:val="left"/>
      </w:pPr>
      <w:r>
        <w:t>Il est important de noter que l</w:t>
      </w:r>
      <w:r w:rsidR="00752D22" w:rsidRPr="00571359">
        <w:t>es explosibles non emballés ou réemballés dans des emballages autres que l'emballage initial ou un</w:t>
      </w:r>
      <w:r>
        <w:t xml:space="preserve"> </w:t>
      </w:r>
      <w:r w:rsidRPr="008E1EE2">
        <w:t xml:space="preserve">emballage similaire </w:t>
      </w:r>
      <w:r>
        <w:t xml:space="preserve">à celui prévu pour la classification au transport </w:t>
      </w:r>
      <w:r w:rsidR="00E53031">
        <w:t>doivent être</w:t>
      </w:r>
      <w:r w:rsidRPr="008E1EE2">
        <w:t xml:space="preserve"> soumis à de nouveaux essais</w:t>
      </w:r>
      <w:r w:rsidR="00E53031">
        <w:t xml:space="preserve"> pour déterminer leur classification</w:t>
      </w:r>
      <w:r w:rsidRPr="008E1EE2">
        <w:t>.</w:t>
      </w:r>
    </w:p>
    <w:p w:rsidR="00A31981" w:rsidRDefault="00A31981" w:rsidP="00752D22">
      <w:pPr>
        <w:autoSpaceDE w:val="0"/>
        <w:autoSpaceDN w:val="0"/>
        <w:adjustRightInd w:val="0"/>
        <w:jc w:val="left"/>
      </w:pPr>
    </w:p>
    <w:p w:rsidR="00A31981" w:rsidRPr="00571359" w:rsidRDefault="00A31981" w:rsidP="00752D22">
      <w:pPr>
        <w:autoSpaceDE w:val="0"/>
        <w:autoSpaceDN w:val="0"/>
        <w:adjustRightInd w:val="0"/>
        <w:jc w:val="left"/>
      </w:pPr>
      <w:r>
        <w:t>La classification pour un même produit peut alors différer suivant que ce soit pour le transport (emballages fermés) ou l’utilisation</w:t>
      </w:r>
      <w:r w:rsidR="00E53031">
        <w:t>/stockage</w:t>
      </w:r>
      <w:r>
        <w:t>. L’ouverture de l’emballage</w:t>
      </w:r>
      <w:r w:rsidR="00E53031">
        <w:t xml:space="preserve"> </w:t>
      </w:r>
      <w:r>
        <w:t xml:space="preserve">affecte </w:t>
      </w:r>
      <w:r w:rsidR="00E53031">
        <w:t xml:space="preserve">en effet </w:t>
      </w:r>
      <w:r>
        <w:t>la classification du produit. Si ce produit n’a pas été classifié suivant le règlement CLP (pour l’usage), c’est-à-dire que des tests n’ont pas été refaits pour classifier ce produit hors transport (non emballé), il est considéré automatiquement dans la catégorie « explosible instable »</w:t>
      </w:r>
      <w:r w:rsidR="00FE4A62">
        <w:t xml:space="preserve"> avec des effets majorants correspondant à ceux de la division 1.1.</w:t>
      </w:r>
    </w:p>
    <w:p w:rsidR="00752D22" w:rsidRDefault="00752D22" w:rsidP="00752D22">
      <w:pPr>
        <w:autoSpaceDE w:val="0"/>
        <w:autoSpaceDN w:val="0"/>
        <w:adjustRightInd w:val="0"/>
        <w:jc w:val="left"/>
      </w:pPr>
    </w:p>
    <w:p w:rsidR="00A31981" w:rsidRPr="00571359" w:rsidRDefault="00A31981" w:rsidP="00752D22">
      <w:pPr>
        <w:autoSpaceDE w:val="0"/>
        <w:autoSpaceDN w:val="0"/>
        <w:adjustRightInd w:val="0"/>
        <w:jc w:val="left"/>
      </w:pPr>
    </w:p>
    <w:p w:rsidR="000F0DFF" w:rsidRPr="000F0DFF" w:rsidRDefault="0090587B" w:rsidP="00571359">
      <w:pPr>
        <w:autoSpaceDE w:val="0"/>
        <w:autoSpaceDN w:val="0"/>
        <w:adjustRightInd w:val="0"/>
        <w:ind w:left="720"/>
        <w:jc w:val="left"/>
        <w:rPr>
          <w:rFonts w:ascii="EUAlbertina_Bold_Italic" w:eastAsia="Calibri" w:hAnsi="EUAlbertina_Bold_Italic" w:cs="EUAlbertina_Bold_Italic"/>
          <w:b/>
          <w:bCs/>
          <w:i/>
          <w:iCs/>
          <w:sz w:val="24"/>
          <w:szCs w:val="24"/>
          <w:lang w:eastAsia="en-US"/>
        </w:rPr>
      </w:pPr>
      <w:r>
        <w:rPr>
          <w:rFonts w:ascii="EUAlbertina" w:eastAsia="Calibri" w:hAnsi="EUAlbertina" w:cs="EUAlbertina"/>
          <w:b/>
          <w:sz w:val="24"/>
          <w:szCs w:val="24"/>
          <w:lang w:eastAsia="en-US"/>
        </w:rPr>
        <w:t xml:space="preserve">B. </w:t>
      </w:r>
      <w:r w:rsidR="000F0DFF" w:rsidRPr="00571359">
        <w:rPr>
          <w:b/>
        </w:rPr>
        <w:t>Communication relative au dange</w:t>
      </w:r>
      <w:r w:rsidR="00991656">
        <w:rPr>
          <w:b/>
        </w:rPr>
        <w:t>r</w:t>
      </w:r>
      <w:r w:rsidR="000F0DFF" w:rsidRPr="000F0DFF">
        <w:rPr>
          <w:rFonts w:ascii="EUAlbertina_Bold_Italic" w:eastAsia="Calibri" w:hAnsi="EUAlbertina_Bold_Italic" w:cs="EUAlbertina_Bold_Italic"/>
          <w:b/>
          <w:bCs/>
          <w:i/>
          <w:iCs/>
          <w:sz w:val="24"/>
          <w:szCs w:val="24"/>
          <w:lang w:eastAsia="en-US"/>
        </w:rPr>
        <w:t xml:space="preserve"> </w:t>
      </w:r>
      <w:r w:rsidR="00383A7C">
        <w:rPr>
          <w:rFonts w:ascii="EUAlbertina_Bold_Italic" w:eastAsia="Calibri" w:hAnsi="EUAlbertina_Bold_Italic" w:cs="EUAlbertina_Bold_Italic"/>
          <w:b/>
          <w:bCs/>
          <w:i/>
          <w:iCs/>
          <w:sz w:val="24"/>
          <w:szCs w:val="24"/>
          <w:lang w:eastAsia="en-US"/>
        </w:rPr>
        <w:t>/ étiquetage</w:t>
      </w:r>
    </w:p>
    <w:p w:rsidR="00752D22" w:rsidRPr="000F0DFF" w:rsidRDefault="00752D22" w:rsidP="00752D22">
      <w:pPr>
        <w:autoSpaceDE w:val="0"/>
        <w:autoSpaceDN w:val="0"/>
        <w:adjustRightInd w:val="0"/>
        <w:jc w:val="left"/>
      </w:pPr>
    </w:p>
    <w:p w:rsidR="000F0DFF" w:rsidRPr="008E1EE2" w:rsidRDefault="00752D22" w:rsidP="000F0DFF">
      <w:pPr>
        <w:autoSpaceDE w:val="0"/>
        <w:autoSpaceDN w:val="0"/>
        <w:adjustRightInd w:val="0"/>
        <w:jc w:val="left"/>
      </w:pPr>
      <w:r w:rsidRPr="00571359">
        <w:t>Des éléments d'étiquetage sont utilisés pour les substances, mélanges ou objets qui répondent aux critères de</w:t>
      </w:r>
      <w:r w:rsidR="000F0DFF">
        <w:t xml:space="preserve"> </w:t>
      </w:r>
      <w:r w:rsidR="000F0DFF" w:rsidRPr="008E1EE2">
        <w:t>classification dans cette classe de dange</w:t>
      </w:r>
      <w:r w:rsidR="000F0DFF">
        <w:t>r, conformément au tableau 1</w:t>
      </w:r>
      <w:r w:rsidR="000F0DFF" w:rsidRPr="008E1EE2">
        <w:t>.</w:t>
      </w:r>
    </w:p>
    <w:p w:rsidR="00752D22" w:rsidRPr="00571359" w:rsidRDefault="00752D22" w:rsidP="00752D22">
      <w:pPr>
        <w:autoSpaceDE w:val="0"/>
        <w:autoSpaceDN w:val="0"/>
        <w:adjustRightInd w:val="0"/>
        <w:jc w:val="left"/>
      </w:pPr>
    </w:p>
    <w:p w:rsidR="000F0DFF" w:rsidRDefault="00752D22" w:rsidP="000F0DFF">
      <w:pPr>
        <w:autoSpaceDE w:val="0"/>
        <w:autoSpaceDN w:val="0"/>
        <w:adjustRightInd w:val="0"/>
        <w:jc w:val="left"/>
      </w:pPr>
      <w:r w:rsidRPr="00571359">
        <w:t>NOTE relative au tableau 1</w:t>
      </w:r>
      <w:r w:rsidR="000976B5">
        <w:t xml:space="preserve"> </w:t>
      </w:r>
      <w:r w:rsidRPr="00571359">
        <w:t>: les explosibles non emballés et les explosibles réemballés dans des emballages</w:t>
      </w:r>
      <w:r w:rsidR="000F0DFF">
        <w:t xml:space="preserve"> </w:t>
      </w:r>
      <w:r w:rsidR="000F0DFF" w:rsidRPr="008E1EE2">
        <w:t>autres que l'emballage initial ou un</w:t>
      </w:r>
      <w:r w:rsidR="00FD5EC9">
        <w:t xml:space="preserve"> autre</w:t>
      </w:r>
      <w:r w:rsidR="000F0DFF" w:rsidRPr="008E1EE2">
        <w:t xml:space="preserve"> emballage </w:t>
      </w:r>
      <w:r w:rsidR="00FD5EC9">
        <w:t xml:space="preserve">homologué pour le transport </w:t>
      </w:r>
      <w:r w:rsidR="000F0DFF" w:rsidRPr="008E1EE2">
        <w:t>portent tous les éléments d'étiquetage suivants</w:t>
      </w:r>
      <w:r w:rsidR="000976B5">
        <w:t xml:space="preserve"> </w:t>
      </w:r>
      <w:r w:rsidR="000F0DFF" w:rsidRPr="008E1EE2">
        <w:t>:</w:t>
      </w:r>
    </w:p>
    <w:p w:rsidR="0058667C" w:rsidRDefault="0058667C" w:rsidP="000F0DFF">
      <w:pPr>
        <w:autoSpaceDE w:val="0"/>
        <w:autoSpaceDN w:val="0"/>
        <w:adjustRightInd w:val="0"/>
        <w:jc w:val="left"/>
      </w:pPr>
    </w:p>
    <w:p w:rsidR="009D24B4" w:rsidRDefault="00752D22" w:rsidP="009D24B4">
      <w:pPr>
        <w:numPr>
          <w:ilvl w:val="0"/>
          <w:numId w:val="18"/>
        </w:numPr>
        <w:autoSpaceDE w:val="0"/>
        <w:autoSpaceDN w:val="0"/>
        <w:adjustRightInd w:val="0"/>
        <w:jc w:val="left"/>
      </w:pPr>
      <w:r w:rsidRPr="00571359">
        <w:t xml:space="preserve">le </w:t>
      </w:r>
      <w:r w:rsidR="006A5A1C">
        <w:t>pictogramme</w:t>
      </w:r>
      <w:r w:rsidR="000976B5">
        <w:t xml:space="preserve"> </w:t>
      </w:r>
      <w:r w:rsidRPr="00571359">
        <w:t xml:space="preserve">: </w:t>
      </w:r>
    </w:p>
    <w:bookmarkStart w:id="34" w:name="_Hlk65842547"/>
    <w:p w:rsidR="00752D22" w:rsidRDefault="006A5A1C" w:rsidP="009D24B4">
      <w:pPr>
        <w:autoSpaceDE w:val="0"/>
        <w:autoSpaceDN w:val="0"/>
        <w:adjustRightInd w:val="0"/>
        <w:ind w:left="2880"/>
        <w:jc w:val="left"/>
      </w:pPr>
      <w:r>
        <w:fldChar w:fldCharType="begin"/>
      </w:r>
      <w:r>
        <w:instrText xml:space="preserve"> INCLUDEPICTURE "https://www.provost.fr/17967-thickbox_default/pictogramme-danger-explosif-sgh01.jpg" \* MERGEFORMATINET </w:instrText>
      </w:r>
      <w:r>
        <w:fldChar w:fldCharType="separate"/>
      </w:r>
      <w:r>
        <w:pict>
          <v:shape id="_x0000_i1029" type="#_x0000_t75" alt="Pictogramme danger - Explosif SGH01" style="width:39pt;height:39pt">
            <v:imagedata r:id="rId23" r:href="rId24"/>
          </v:shape>
        </w:pict>
      </w:r>
      <w:r>
        <w:fldChar w:fldCharType="end"/>
      </w:r>
      <w:bookmarkEnd w:id="34"/>
    </w:p>
    <w:p w:rsidR="000F0DFF" w:rsidRPr="00571359" w:rsidRDefault="000F0DFF" w:rsidP="00571359">
      <w:pPr>
        <w:autoSpaceDE w:val="0"/>
        <w:autoSpaceDN w:val="0"/>
        <w:adjustRightInd w:val="0"/>
        <w:ind w:left="1080"/>
        <w:jc w:val="left"/>
      </w:pPr>
    </w:p>
    <w:p w:rsidR="00752D22" w:rsidRDefault="00752D22" w:rsidP="00CC24EC">
      <w:pPr>
        <w:numPr>
          <w:ilvl w:val="0"/>
          <w:numId w:val="18"/>
        </w:numPr>
        <w:autoSpaceDE w:val="0"/>
        <w:autoSpaceDN w:val="0"/>
        <w:adjustRightInd w:val="0"/>
        <w:jc w:val="left"/>
      </w:pPr>
      <w:r w:rsidRPr="00571359">
        <w:t>la mention d'avertissement</w:t>
      </w:r>
      <w:r w:rsidR="000976B5">
        <w:t xml:space="preserve"> </w:t>
      </w:r>
      <w:r w:rsidRPr="00571359">
        <w:t>: «Danger»</w:t>
      </w:r>
      <w:r w:rsidR="000976B5">
        <w:t xml:space="preserve"> </w:t>
      </w:r>
      <w:r w:rsidRPr="00571359">
        <w:t>;</w:t>
      </w:r>
    </w:p>
    <w:p w:rsidR="000F0DFF" w:rsidRDefault="000F0DFF" w:rsidP="000F0DFF">
      <w:pPr>
        <w:pStyle w:val="Lijstalinea"/>
      </w:pPr>
    </w:p>
    <w:p w:rsidR="00752D22" w:rsidRDefault="00752D22" w:rsidP="00CC24EC">
      <w:pPr>
        <w:numPr>
          <w:ilvl w:val="0"/>
          <w:numId w:val="18"/>
        </w:numPr>
        <w:autoSpaceDE w:val="0"/>
        <w:autoSpaceDN w:val="0"/>
        <w:adjustRightInd w:val="0"/>
        <w:jc w:val="left"/>
      </w:pPr>
      <w:r w:rsidRPr="00571359">
        <w:t>la mention de danger</w:t>
      </w:r>
      <w:r w:rsidR="000976B5">
        <w:t xml:space="preserve"> </w:t>
      </w:r>
      <w:r w:rsidRPr="00571359">
        <w:t>: «Explosif; danger d'explosion en masse»</w:t>
      </w:r>
    </w:p>
    <w:p w:rsidR="000F0DFF" w:rsidRPr="00CF2DDD" w:rsidRDefault="000F0DFF" w:rsidP="00571359">
      <w:pPr>
        <w:pStyle w:val="Lijstalinea"/>
        <w:rPr>
          <w:lang w:val="fr-BE"/>
        </w:rPr>
      </w:pPr>
    </w:p>
    <w:p w:rsidR="000F0DFF" w:rsidRPr="00571359" w:rsidRDefault="000F0DFF" w:rsidP="00571359">
      <w:pPr>
        <w:autoSpaceDE w:val="0"/>
        <w:autoSpaceDN w:val="0"/>
        <w:adjustRightInd w:val="0"/>
        <w:ind w:left="1080"/>
        <w:jc w:val="left"/>
      </w:pPr>
    </w:p>
    <w:p w:rsidR="00752D22" w:rsidRDefault="00752D22" w:rsidP="00752D22">
      <w:pPr>
        <w:autoSpaceDE w:val="0"/>
        <w:autoSpaceDN w:val="0"/>
        <w:adjustRightInd w:val="0"/>
        <w:jc w:val="left"/>
      </w:pPr>
      <w:r w:rsidRPr="00571359">
        <w:t xml:space="preserve">sauf s'il est avéré que le danger correspond à l'une des catégories de danger du </w:t>
      </w:r>
      <w:r w:rsidRPr="000F0DFF">
        <w:t>tablea</w:t>
      </w:r>
      <w:r w:rsidR="000F0DFF">
        <w:t>u 1</w:t>
      </w:r>
      <w:r w:rsidRPr="00571359">
        <w:t>, auquel cas le</w:t>
      </w:r>
      <w:r w:rsidR="00544547">
        <w:t xml:space="preserve"> </w:t>
      </w:r>
      <w:r w:rsidR="00544547" w:rsidRPr="008E1EE2">
        <w:t>symbole, la mention d'avertissement et/ou la mention de danger correspondante sont attribués</w:t>
      </w:r>
      <w:r w:rsidR="00544547">
        <w:t>.</w:t>
      </w:r>
    </w:p>
    <w:p w:rsidR="00544547" w:rsidRPr="00544547" w:rsidRDefault="006A2E1E" w:rsidP="00752D22">
      <w:pPr>
        <w:autoSpaceDE w:val="0"/>
        <w:autoSpaceDN w:val="0"/>
        <w:adjustRightInd w:val="0"/>
        <w:jc w:val="left"/>
      </w:pPr>
      <w:r w:rsidRPr="00544547">
        <w:pict>
          <v:shape id="_x0000_i1030" type="#_x0000_t75" style="width:480pt;height:214.5pt">
            <v:imagedata r:id="rId25" o:title=""/>
          </v:shape>
        </w:pict>
      </w:r>
    </w:p>
    <w:p w:rsidR="00BE11D4" w:rsidRDefault="006A2E1E" w:rsidP="00CC24EC">
      <w:pPr>
        <w:jc w:val="center"/>
      </w:pPr>
      <w:r>
        <w:t>Eléments d’étiquetage pour les explosifs.</w:t>
      </w:r>
      <w:bookmarkEnd w:id="29"/>
      <w:bookmarkEnd w:id="30"/>
      <w:bookmarkEnd w:id="31"/>
      <w:bookmarkEnd w:id="32"/>
    </w:p>
    <w:p w:rsidR="00AA0B11" w:rsidRDefault="00AA0B11" w:rsidP="009D24B4">
      <w:pPr>
        <w:autoSpaceDE w:val="0"/>
        <w:autoSpaceDN w:val="0"/>
        <w:adjustRightInd w:val="0"/>
        <w:jc w:val="left"/>
        <w:rPr>
          <w:sz w:val="24"/>
          <w:szCs w:val="24"/>
        </w:rPr>
      </w:pPr>
    </w:p>
    <w:p w:rsidR="002B2257" w:rsidRPr="00571359" w:rsidRDefault="001E3628" w:rsidP="009D24B4">
      <w:pPr>
        <w:autoSpaceDE w:val="0"/>
        <w:autoSpaceDN w:val="0"/>
        <w:adjustRightInd w:val="0"/>
        <w:jc w:val="left"/>
        <w:rPr>
          <w:sz w:val="24"/>
          <w:szCs w:val="24"/>
        </w:rPr>
      </w:pPr>
      <w:r>
        <w:rPr>
          <w:sz w:val="24"/>
          <w:szCs w:val="24"/>
        </w:rPr>
        <w:t>2.3.2.</w:t>
      </w:r>
      <w:r w:rsidR="0090587B">
        <w:rPr>
          <w:sz w:val="24"/>
          <w:szCs w:val="24"/>
        </w:rPr>
        <w:t xml:space="preserve"> </w:t>
      </w:r>
      <w:r w:rsidR="002B2257" w:rsidRPr="002B2257">
        <w:rPr>
          <w:sz w:val="24"/>
          <w:szCs w:val="24"/>
        </w:rPr>
        <w:t xml:space="preserve">La </w:t>
      </w:r>
      <w:r w:rsidR="00E2118C">
        <w:rPr>
          <w:sz w:val="24"/>
          <w:szCs w:val="24"/>
        </w:rPr>
        <w:t>classe</w:t>
      </w:r>
      <w:r w:rsidR="00027BE1">
        <w:rPr>
          <w:sz w:val="24"/>
          <w:szCs w:val="24"/>
        </w:rPr>
        <w:t xml:space="preserve"> des explosi</w:t>
      </w:r>
      <w:r w:rsidR="00E2118C">
        <w:rPr>
          <w:sz w:val="24"/>
          <w:szCs w:val="24"/>
        </w:rPr>
        <w:t>bles</w:t>
      </w:r>
      <w:r w:rsidR="00027BE1">
        <w:rPr>
          <w:sz w:val="24"/>
          <w:szCs w:val="24"/>
        </w:rPr>
        <w:t xml:space="preserve"> désensibilisés </w:t>
      </w:r>
    </w:p>
    <w:p w:rsidR="002B2257" w:rsidRDefault="00672F67" w:rsidP="00BE11D4">
      <w:r w:rsidRPr="00672F67">
        <w:t>Par</w:t>
      </w:r>
      <w:r w:rsidR="00FE4A62">
        <w:t xml:space="preserve"> classe</w:t>
      </w:r>
      <w:r w:rsidR="00C0748D">
        <w:t xml:space="preserve"> </w:t>
      </w:r>
      <w:r w:rsidR="0053644D">
        <w:t>« </w:t>
      </w:r>
      <w:r w:rsidRPr="00672F67">
        <w:t>explosible désensibilisé</w:t>
      </w:r>
      <w:r w:rsidR="000845E4">
        <w:t> »</w:t>
      </w:r>
      <w:r w:rsidRPr="00672F67">
        <w:t xml:space="preserve"> on entend une substance </w:t>
      </w:r>
      <w:r w:rsidR="00891773">
        <w:t xml:space="preserve">ou mélange </w:t>
      </w:r>
      <w:r w:rsidRPr="00672F67">
        <w:t>explosible solide ou liquide, qui a été désensibilisé pour neutraliser ses propriétés explosives de telle sorte qu’il n’explose pas en masse et ne se consume pas trop rapidement, et qui ne relève donc pas de la classe « explosible</w:t>
      </w:r>
      <w:r w:rsidR="007140E2">
        <w:t xml:space="preserve"> </w:t>
      </w:r>
      <w:r w:rsidRPr="00672F67">
        <w:t>»</w:t>
      </w:r>
      <w:r w:rsidR="00891480">
        <w:t>.</w:t>
      </w:r>
    </w:p>
    <w:p w:rsidR="00672F67" w:rsidRDefault="00672F67" w:rsidP="00BE11D4">
      <w:r w:rsidRPr="00672F67">
        <w:t xml:space="preserve">Les </w:t>
      </w:r>
      <w:r w:rsidR="0090587B">
        <w:t xml:space="preserve">substances </w:t>
      </w:r>
      <w:r w:rsidR="00891480">
        <w:t>ou mélanges</w:t>
      </w:r>
      <w:r w:rsidR="009474FA">
        <w:t xml:space="preserve"> </w:t>
      </w:r>
      <w:r w:rsidRPr="00672F67">
        <w:t xml:space="preserve">explosibles désensibilisées doivent être classés, tels </w:t>
      </w:r>
      <w:r w:rsidR="0053644D" w:rsidRPr="00672F67">
        <w:t>qu’</w:t>
      </w:r>
      <w:r w:rsidR="0053644D">
        <w:t>ils</w:t>
      </w:r>
      <w:r w:rsidR="0053644D" w:rsidRPr="00672F67">
        <w:t xml:space="preserve"> </w:t>
      </w:r>
      <w:r w:rsidRPr="00672F67">
        <w:t>sont emballés pour la distribution et l’utilisation, dans une des quatre catégories de cette classe en fonction de leur vitesse de combustion corrigée (</w:t>
      </w:r>
      <w:proofErr w:type="spellStart"/>
      <w:r w:rsidRPr="00672F67">
        <w:t>Ac</w:t>
      </w:r>
      <w:proofErr w:type="spellEnd"/>
      <w:r w:rsidRPr="00672F67">
        <w:t>), déterminée au moyen de l’épreuve de vitesse de combustion (feu extérieur) décrite à la section 51.4 de la cinquième partie des Recommandations relatives au transport des marchandises dangereuses, Manuel d’épreuves et de critères, conformément au tableau</w:t>
      </w:r>
      <w:r w:rsidR="00891480">
        <w:t xml:space="preserve"> </w:t>
      </w:r>
      <w:r w:rsidRPr="00672F67">
        <w:t>ci-dessous.</w:t>
      </w:r>
    </w:p>
    <w:p w:rsidR="00672F67" w:rsidRDefault="00672F67" w:rsidP="00BE11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045"/>
        <w:tblGridChange w:id="35">
          <w:tblGrid>
            <w:gridCol w:w="1242"/>
            <w:gridCol w:w="8045"/>
          </w:tblGrid>
        </w:tblGridChange>
      </w:tblGrid>
      <w:tr w:rsidR="00672F67" w:rsidTr="00FF7702">
        <w:tc>
          <w:tcPr>
            <w:tcW w:w="1242" w:type="dxa"/>
            <w:shd w:val="clear" w:color="auto" w:fill="auto"/>
          </w:tcPr>
          <w:p w:rsidR="00672F67" w:rsidRDefault="00672F67" w:rsidP="00FF7702">
            <w:pPr>
              <w:jc w:val="center"/>
            </w:pPr>
            <w:r>
              <w:t>Catégorie</w:t>
            </w:r>
          </w:p>
        </w:tc>
        <w:tc>
          <w:tcPr>
            <w:tcW w:w="8045" w:type="dxa"/>
            <w:shd w:val="clear" w:color="auto" w:fill="auto"/>
          </w:tcPr>
          <w:p w:rsidR="00672F67" w:rsidRDefault="00672F67" w:rsidP="00FF7702">
            <w:pPr>
              <w:jc w:val="center"/>
            </w:pPr>
            <w:r>
              <w:t>Critères</w:t>
            </w:r>
          </w:p>
        </w:tc>
      </w:tr>
      <w:tr w:rsidR="00672F67" w:rsidTr="00FF7702">
        <w:tc>
          <w:tcPr>
            <w:tcW w:w="1242" w:type="dxa"/>
            <w:shd w:val="clear" w:color="auto" w:fill="auto"/>
          </w:tcPr>
          <w:p w:rsidR="00672F67" w:rsidRDefault="00672F67" w:rsidP="00FF7702">
            <w:pPr>
              <w:jc w:val="center"/>
            </w:pPr>
            <w:r>
              <w:t>1</w:t>
            </w:r>
          </w:p>
        </w:tc>
        <w:tc>
          <w:tcPr>
            <w:tcW w:w="8045" w:type="dxa"/>
            <w:shd w:val="clear" w:color="auto" w:fill="auto"/>
          </w:tcPr>
          <w:p w:rsidR="00672F67" w:rsidRDefault="00891480" w:rsidP="00BE11D4">
            <w:r>
              <w:t>E</w:t>
            </w:r>
            <w:r w:rsidR="00672F67" w:rsidRPr="00672F67">
              <w:t>xplosibles désensibilisées dont la vitesse de combustion corrigée (</w:t>
            </w:r>
            <w:proofErr w:type="spellStart"/>
            <w:r w:rsidR="007140E2" w:rsidRPr="00672F67">
              <w:t>A</w:t>
            </w:r>
            <w:r w:rsidR="007140E2">
              <w:t>c</w:t>
            </w:r>
            <w:proofErr w:type="spellEnd"/>
            <w:r w:rsidR="00672F67" w:rsidRPr="00672F67">
              <w:t>) est supérieure ou égale à 300 kg/min mais inférieure à 1 200 kg/min</w:t>
            </w:r>
          </w:p>
        </w:tc>
      </w:tr>
      <w:tr w:rsidR="00672F67" w:rsidTr="00FF7702">
        <w:tc>
          <w:tcPr>
            <w:tcW w:w="1242" w:type="dxa"/>
            <w:shd w:val="clear" w:color="auto" w:fill="auto"/>
          </w:tcPr>
          <w:p w:rsidR="00672F67" w:rsidRDefault="00672F67" w:rsidP="00FF7702">
            <w:pPr>
              <w:jc w:val="center"/>
            </w:pPr>
            <w:r>
              <w:t>2</w:t>
            </w:r>
          </w:p>
        </w:tc>
        <w:tc>
          <w:tcPr>
            <w:tcW w:w="8045" w:type="dxa"/>
            <w:shd w:val="clear" w:color="auto" w:fill="auto"/>
          </w:tcPr>
          <w:p w:rsidR="00672F67" w:rsidRDefault="00891480" w:rsidP="00BE11D4">
            <w:r>
              <w:t>E</w:t>
            </w:r>
            <w:r w:rsidR="00672F67" w:rsidRPr="00672F67">
              <w:t>xplosibles désensibilisées dont la vitesse de combustion corrigée (</w:t>
            </w:r>
            <w:proofErr w:type="spellStart"/>
            <w:r w:rsidR="007140E2" w:rsidRPr="00672F67">
              <w:t>A</w:t>
            </w:r>
            <w:r w:rsidR="007140E2">
              <w:t>c</w:t>
            </w:r>
            <w:proofErr w:type="spellEnd"/>
            <w:r w:rsidR="00672F67" w:rsidRPr="00672F67">
              <w:t>) est supérieure ou égale à 140 kg/min mais inférieure à 300 kg/min</w:t>
            </w:r>
          </w:p>
        </w:tc>
      </w:tr>
      <w:tr w:rsidR="00672F67" w:rsidTr="00FF7702">
        <w:tc>
          <w:tcPr>
            <w:tcW w:w="1242" w:type="dxa"/>
            <w:shd w:val="clear" w:color="auto" w:fill="auto"/>
          </w:tcPr>
          <w:p w:rsidR="00672F67" w:rsidRDefault="00672F67" w:rsidP="00FF7702">
            <w:pPr>
              <w:jc w:val="center"/>
            </w:pPr>
            <w:r>
              <w:t>3</w:t>
            </w:r>
          </w:p>
        </w:tc>
        <w:tc>
          <w:tcPr>
            <w:tcW w:w="8045" w:type="dxa"/>
            <w:shd w:val="clear" w:color="auto" w:fill="auto"/>
          </w:tcPr>
          <w:p w:rsidR="00672F67" w:rsidRDefault="00891480" w:rsidP="00BE11D4">
            <w:r>
              <w:t>E</w:t>
            </w:r>
            <w:r w:rsidR="00672F67" w:rsidRPr="00672F67">
              <w:t>xplosibles désensibilisées dont la vitesse de combustion corrigée (</w:t>
            </w:r>
            <w:proofErr w:type="spellStart"/>
            <w:r w:rsidR="007140E2" w:rsidRPr="00672F67">
              <w:t>A</w:t>
            </w:r>
            <w:r w:rsidR="007140E2">
              <w:t>c</w:t>
            </w:r>
            <w:proofErr w:type="spellEnd"/>
            <w:r w:rsidR="00672F67" w:rsidRPr="00672F67">
              <w:t>) est supérieure ou égale à 60 kg/min mais inférieure à 140 kg/min</w:t>
            </w:r>
          </w:p>
        </w:tc>
      </w:tr>
      <w:tr w:rsidR="00672F67" w:rsidTr="00FF7702">
        <w:tc>
          <w:tcPr>
            <w:tcW w:w="1242" w:type="dxa"/>
            <w:shd w:val="clear" w:color="auto" w:fill="auto"/>
          </w:tcPr>
          <w:p w:rsidR="00672F67" w:rsidRDefault="00672F67" w:rsidP="00FF7702">
            <w:pPr>
              <w:jc w:val="center"/>
            </w:pPr>
            <w:r>
              <w:t>4</w:t>
            </w:r>
          </w:p>
        </w:tc>
        <w:tc>
          <w:tcPr>
            <w:tcW w:w="8045" w:type="dxa"/>
            <w:shd w:val="clear" w:color="auto" w:fill="auto"/>
          </w:tcPr>
          <w:p w:rsidR="00672F67" w:rsidRDefault="00891480" w:rsidP="00BE11D4">
            <w:r>
              <w:t>E</w:t>
            </w:r>
            <w:r w:rsidR="00672F67" w:rsidRPr="00672F67">
              <w:t>xplosibles désensibilisées dont la vitesse de combustion corrigée (</w:t>
            </w:r>
            <w:proofErr w:type="spellStart"/>
            <w:r w:rsidR="007140E2" w:rsidRPr="00672F67">
              <w:t>A</w:t>
            </w:r>
            <w:r w:rsidR="007140E2">
              <w:t>c</w:t>
            </w:r>
            <w:proofErr w:type="spellEnd"/>
            <w:r w:rsidR="00672F67" w:rsidRPr="00672F67">
              <w:t>) est inférieure à 60 kg/min</w:t>
            </w:r>
          </w:p>
        </w:tc>
      </w:tr>
    </w:tbl>
    <w:p w:rsidR="002313A5" w:rsidRDefault="002313A5" w:rsidP="00BE11D4"/>
    <w:p w:rsidR="00672F67" w:rsidRDefault="00891480" w:rsidP="00571359">
      <w:pPr>
        <w:jc w:val="center"/>
      </w:pPr>
      <w:r>
        <w:t>Critères applicables aux explosibles désensibilisés</w:t>
      </w:r>
    </w:p>
    <w:p w:rsidR="002313A5" w:rsidRDefault="002313A5" w:rsidP="00BE11D4">
      <w:pPr>
        <w:rPr>
          <w:sz w:val="24"/>
          <w:szCs w:val="24"/>
        </w:rPr>
      </w:pPr>
    </w:p>
    <w:p w:rsidR="00893FB9" w:rsidRPr="002313A5" w:rsidRDefault="001E3628" w:rsidP="00571359">
      <w:pPr>
        <w:pStyle w:val="Kop3"/>
      </w:pPr>
      <w:r>
        <w:t>2.3.3</w:t>
      </w:r>
      <w:r w:rsidR="001F1361">
        <w:t>. Classification des</w:t>
      </w:r>
      <w:r w:rsidR="00893FB9">
        <w:t xml:space="preserve"> émulsions, suspensions ou gels de nitrate d’ammonium servant à la fabrication des explosifs de mine </w:t>
      </w:r>
    </w:p>
    <w:p w:rsidR="00893FB9" w:rsidRDefault="001F1361" w:rsidP="00893FB9">
      <w:r>
        <w:t xml:space="preserve">Les </w:t>
      </w:r>
      <w:r w:rsidR="00893FB9">
        <w:t>émulsions, suspensions et gels non sensibilisés se compos</w:t>
      </w:r>
      <w:r w:rsidR="00D61060">
        <w:t>ent</w:t>
      </w:r>
      <w:r w:rsidR="006434A6">
        <w:t xml:space="preserve"> </w:t>
      </w:r>
      <w:r w:rsidR="00893FB9">
        <w:t>principalement d’un mélange de nitrate d’ammonium et d’un combustible, destiné à produire un explosif de mine, mais seulement après un traitement supplémentaire précédant l’emploi.</w:t>
      </w:r>
    </w:p>
    <w:p w:rsidR="00AD113A" w:rsidRDefault="001F1361" w:rsidP="00CF2DDD">
      <w:pPr>
        <w:pStyle w:val="Kop3"/>
        <w:rPr>
          <w:sz w:val="20"/>
          <w:szCs w:val="20"/>
        </w:rPr>
      </w:pPr>
      <w:r w:rsidRPr="00CF2DDD">
        <w:rPr>
          <w:sz w:val="20"/>
          <w:szCs w:val="20"/>
        </w:rPr>
        <w:t>Ces émulsions sont classé</w:t>
      </w:r>
      <w:r w:rsidR="009474FA">
        <w:rPr>
          <w:sz w:val="20"/>
          <w:szCs w:val="20"/>
        </w:rPr>
        <w:t>e</w:t>
      </w:r>
      <w:r w:rsidRPr="00CF2DDD">
        <w:rPr>
          <w:sz w:val="20"/>
          <w:szCs w:val="20"/>
        </w:rPr>
        <w:t xml:space="preserve">s suivant la classification au transport </w:t>
      </w:r>
      <w:r>
        <w:rPr>
          <w:sz w:val="20"/>
          <w:szCs w:val="20"/>
        </w:rPr>
        <w:t>en classe 5.1</w:t>
      </w:r>
      <w:r w:rsidR="00E076A1">
        <w:rPr>
          <w:sz w:val="20"/>
          <w:szCs w:val="20"/>
        </w:rPr>
        <w:t xml:space="preserve"> (matière comburante)</w:t>
      </w:r>
      <w:r>
        <w:rPr>
          <w:sz w:val="20"/>
          <w:szCs w:val="20"/>
        </w:rPr>
        <w:t xml:space="preserve"> numéro </w:t>
      </w:r>
      <w:r w:rsidR="006C61FF">
        <w:rPr>
          <w:sz w:val="20"/>
          <w:szCs w:val="20"/>
        </w:rPr>
        <w:t>U</w:t>
      </w:r>
      <w:r w:rsidR="001E3628">
        <w:rPr>
          <w:sz w:val="20"/>
          <w:szCs w:val="20"/>
        </w:rPr>
        <w:t>N</w:t>
      </w:r>
      <w:r w:rsidRPr="00CF2DDD">
        <w:rPr>
          <w:sz w:val="20"/>
          <w:szCs w:val="20"/>
        </w:rPr>
        <w:t xml:space="preserve"> 3375</w:t>
      </w:r>
      <w:r>
        <w:rPr>
          <w:sz w:val="20"/>
          <w:szCs w:val="20"/>
        </w:rPr>
        <w:t>.</w:t>
      </w:r>
    </w:p>
    <w:p w:rsidR="00AD113A" w:rsidRDefault="00AD113A" w:rsidP="00CF2DDD">
      <w:pPr>
        <w:pStyle w:val="Kop3"/>
        <w:rPr>
          <w:sz w:val="20"/>
          <w:szCs w:val="20"/>
        </w:rPr>
      </w:pPr>
      <w:r>
        <w:rPr>
          <w:sz w:val="20"/>
          <w:szCs w:val="20"/>
        </w:rPr>
        <w:t>Suivant le Règlement CLP, ces émulsions sont classifiées H272 (liquide ou solide comburant) et H319 (irritant pour les yeux). Les émulsions sont donc bien visées par la directive Seveso (</w:t>
      </w:r>
      <w:proofErr w:type="spellStart"/>
      <w:r>
        <w:rPr>
          <w:sz w:val="20"/>
          <w:szCs w:val="20"/>
        </w:rPr>
        <w:t>cfr</w:t>
      </w:r>
      <w:proofErr w:type="spellEnd"/>
      <w:r>
        <w:rPr>
          <w:sz w:val="20"/>
          <w:szCs w:val="20"/>
        </w:rPr>
        <w:t xml:space="preserve"> chapitre 2.3 ci-dessous), mais sous la catégorie P8 correspondant aux liquides et solides comburants (seuils de 50 et 200T) et non comme substances explosibles en tant que telles.</w:t>
      </w:r>
    </w:p>
    <w:p w:rsidR="008822AF" w:rsidRDefault="008822AF" w:rsidP="00893FB9">
      <w:r>
        <w:br/>
      </w:r>
    </w:p>
    <w:p w:rsidR="00A700D4" w:rsidRDefault="00A700D4" w:rsidP="00893FB9"/>
    <w:p w:rsidR="00EE5F0A" w:rsidRDefault="005749E8" w:rsidP="008822AF">
      <w:pPr>
        <w:pStyle w:val="Kop2"/>
        <w:numPr>
          <w:ilvl w:val="0"/>
          <w:numId w:val="0"/>
        </w:numPr>
        <w:ind w:left="1143" w:hanging="576"/>
      </w:pPr>
      <w:bookmarkStart w:id="36" w:name="_Toc273011781"/>
      <w:bookmarkStart w:id="37" w:name="_Toc273011811"/>
      <w:bookmarkStart w:id="38" w:name="_Toc279158362"/>
      <w:bookmarkStart w:id="39" w:name="_Toc66895222"/>
      <w:r>
        <w:t>2.4</w:t>
      </w:r>
      <w:r w:rsidR="00C50960">
        <w:tab/>
      </w:r>
      <w:r w:rsidR="00C50960">
        <w:tab/>
      </w:r>
      <w:r w:rsidR="00BD45CE">
        <w:t>Classement suivant l</w:t>
      </w:r>
      <w:r w:rsidR="002776A1">
        <w:t>a directive Seveso II</w:t>
      </w:r>
      <w:bookmarkEnd w:id="36"/>
      <w:bookmarkEnd w:id="37"/>
      <w:bookmarkEnd w:id="38"/>
      <w:r w:rsidR="002313A5">
        <w:t>I</w:t>
      </w:r>
      <w:r w:rsidR="0017642B">
        <w:t xml:space="preserve"> et l’accord de coopération</w:t>
      </w:r>
      <w:bookmarkEnd w:id="39"/>
    </w:p>
    <w:p w:rsidR="00381B14" w:rsidRDefault="00381B14" w:rsidP="00571359">
      <w:pPr>
        <w:rPr>
          <w:lang w:val="fr-FR"/>
        </w:rPr>
      </w:pPr>
    </w:p>
    <w:p w:rsidR="0017642B" w:rsidRPr="00571359" w:rsidRDefault="0017642B" w:rsidP="0017642B">
      <w:pPr>
        <w:rPr>
          <w:lang w:val="fr-FR"/>
        </w:rPr>
      </w:pPr>
      <w:r>
        <w:rPr>
          <w:lang w:val="fr-FR"/>
        </w:rPr>
        <w:t xml:space="preserve">La directive Seveso III, </w:t>
      </w:r>
      <w:r w:rsidR="00EE084F">
        <w:rPr>
          <w:lang w:val="fr-FR"/>
        </w:rPr>
        <w:t>traduite en droit belge par l’accord de coopération entre l’Etat Fédéral et les Régions</w:t>
      </w:r>
      <w:r w:rsidR="00EE084F">
        <w:rPr>
          <w:rStyle w:val="Voetnootmarkering"/>
          <w:lang w:val="fr-FR"/>
        </w:rPr>
        <w:footnoteReference w:id="4"/>
      </w:r>
      <w:r w:rsidR="00EE084F">
        <w:rPr>
          <w:lang w:val="fr-FR"/>
        </w:rPr>
        <w:t xml:space="preserve"> </w:t>
      </w:r>
      <w:r>
        <w:rPr>
          <w:lang w:val="fr-FR"/>
        </w:rPr>
        <w:t>définit la classe</w:t>
      </w:r>
      <w:r w:rsidR="00EE084F">
        <w:rPr>
          <w:lang w:val="fr-FR"/>
        </w:rPr>
        <w:t xml:space="preserve"> de danger « Explosibles » via sa note 8 reprise en son </w:t>
      </w:r>
      <w:r>
        <w:rPr>
          <w:lang w:val="fr-FR"/>
        </w:rPr>
        <w:t xml:space="preserve">annexe 1 qui se base sur la classification CLP </w:t>
      </w:r>
      <w:r w:rsidRPr="00571359">
        <w:rPr>
          <w:lang w:val="fr-FR"/>
        </w:rPr>
        <w:t>(</w:t>
      </w:r>
      <w:r w:rsidR="00EE084F" w:rsidRPr="00571359">
        <w:rPr>
          <w:lang w:val="fr-FR"/>
        </w:rPr>
        <w:t>règlement (CE) n°1272/2008] défini</w:t>
      </w:r>
      <w:r w:rsidRPr="00571359">
        <w:rPr>
          <w:lang w:val="fr-FR"/>
        </w:rPr>
        <w:t xml:space="preserve"> ci-dessus)</w:t>
      </w:r>
      <w:r w:rsidR="00EE084F">
        <w:rPr>
          <w:lang w:val="fr-FR"/>
        </w:rPr>
        <w:t>.</w:t>
      </w:r>
    </w:p>
    <w:p w:rsidR="0017642B" w:rsidRPr="00A700D4" w:rsidRDefault="0017642B" w:rsidP="0017642B">
      <w:pPr>
        <w:rPr>
          <w:lang w:val="fr-FR"/>
        </w:rPr>
      </w:pPr>
    </w:p>
    <w:p w:rsidR="0017642B" w:rsidRPr="00A700D4" w:rsidRDefault="0017642B" w:rsidP="00571359">
      <w:pPr>
        <w:ind w:left="720"/>
        <w:rPr>
          <w:i/>
          <w:lang w:val="fr-FR"/>
        </w:rPr>
      </w:pPr>
      <w:r w:rsidRPr="00A700D4">
        <w:rPr>
          <w:i/>
          <w:lang w:val="fr-FR"/>
        </w:rPr>
        <w:t>Note 8. La classe de danger Explosibles comprend les articles explosibles [voir l’annexe I, section 2.1, du règlement (CE) n°1272/2008]. Si la quantité de substance ou mélange explosible contenue dans l’article est connue, c’est cette quantité qui est prise en considération aux fins du présent accord de coopération. Si la quantité de substance ou mélange explosible contenue dans l’article n’est pas connue, c’est l’article entier qui sera considéré comme étant explosible aux fins du présent accord de coopération.</w:t>
      </w:r>
    </w:p>
    <w:p w:rsidR="0017642B" w:rsidRDefault="0017642B" w:rsidP="0017642B">
      <w:pPr>
        <w:autoSpaceDE w:val="0"/>
        <w:autoSpaceDN w:val="0"/>
        <w:adjustRightInd w:val="0"/>
        <w:rPr>
          <w:rFonts w:ascii="Times New Roman" w:hAnsi="Times New Roman"/>
          <w:sz w:val="24"/>
          <w:szCs w:val="24"/>
          <w:lang w:val="fr-FR" w:eastAsia="fr-FR"/>
        </w:rPr>
      </w:pPr>
    </w:p>
    <w:p w:rsidR="0017642B" w:rsidRDefault="0017642B" w:rsidP="0017642B">
      <w:pPr>
        <w:rPr>
          <w:lang w:val="fr-FR"/>
        </w:rPr>
      </w:pPr>
      <w:r>
        <w:rPr>
          <w:lang w:val="fr-FR"/>
        </w:rPr>
        <w:t xml:space="preserve">Les explosibles sont classées dans la section P relative aux dangers </w:t>
      </w:r>
      <w:r w:rsidR="00E53E85">
        <w:rPr>
          <w:lang w:val="fr-FR"/>
        </w:rPr>
        <w:t>physiques selon deux catégories : P1a et P1b.</w:t>
      </w:r>
    </w:p>
    <w:p w:rsidR="004C12EB" w:rsidRDefault="004C12EB" w:rsidP="0017642B">
      <w:pPr>
        <w:rPr>
          <w:lang w:val="fr-FR"/>
        </w:rPr>
      </w:pPr>
    </w:p>
    <w:p w:rsidR="0017642B" w:rsidRDefault="0017642B" w:rsidP="0017642B">
      <w:pPr>
        <w:rPr>
          <w:lang w:val="fr-FR"/>
        </w:rPr>
      </w:pPr>
      <w:r>
        <w:rPr>
          <w:lang w:val="fr-FR"/>
        </w:rPr>
        <w:t>La première catégorie (P1a) possédant des seuils de 10 et 50 tonnes</w:t>
      </w:r>
      <w:r w:rsidR="00E53E85">
        <w:rPr>
          <w:rStyle w:val="Voetnootmarkering"/>
          <w:lang w:val="fr-FR"/>
        </w:rPr>
        <w:footnoteReference w:id="5"/>
      </w:r>
      <w:r>
        <w:rPr>
          <w:lang w:val="fr-FR"/>
        </w:rPr>
        <w:t>.</w:t>
      </w:r>
    </w:p>
    <w:p w:rsidR="004C12EB" w:rsidRDefault="004C12EB" w:rsidP="0017642B">
      <w:pPr>
        <w:rPr>
          <w:lang w:val="fr-FR"/>
        </w:rPr>
      </w:pPr>
    </w:p>
    <w:p w:rsidR="004C12EB" w:rsidRDefault="0017642B" w:rsidP="0017642B">
      <w:pPr>
        <w:rPr>
          <w:lang w:val="fr-FR"/>
        </w:rPr>
      </w:pPr>
      <w:r>
        <w:rPr>
          <w:lang w:val="fr-FR"/>
        </w:rPr>
        <w:t>La seconde catégorie (P1b)</w:t>
      </w:r>
      <w:r w:rsidDel="005E6A4F">
        <w:rPr>
          <w:lang w:val="fr-FR"/>
        </w:rPr>
        <w:t xml:space="preserve"> </w:t>
      </w:r>
      <w:r>
        <w:rPr>
          <w:lang w:val="fr-FR"/>
        </w:rPr>
        <w:t>possédant des seuils de 50 et 200 tonnes.</w:t>
      </w:r>
    </w:p>
    <w:p w:rsidR="009474FA" w:rsidRDefault="004C12EB" w:rsidP="0017642B">
      <w:pPr>
        <w:rPr>
          <w:lang w:val="fr-FR"/>
        </w:rPr>
      </w:pPr>
      <w:r>
        <w:rPr>
          <w:lang w:val="fr-FR"/>
        </w:rPr>
        <w:br w:type="page"/>
      </w:r>
    </w:p>
    <w:p w:rsidR="0017642B" w:rsidRDefault="0017642B" w:rsidP="0017642B">
      <w:pPr>
        <w:rPr>
          <w:lang w:val="fr-FR"/>
        </w:rPr>
      </w:pPr>
    </w:p>
    <w:p w:rsidR="0017642B" w:rsidRDefault="0017642B" w:rsidP="0017642B">
      <w:pPr>
        <w:spacing w:line="259" w:lineRule="auto"/>
        <w:ind w:right="3"/>
        <w:jc w:val="center"/>
      </w:pPr>
      <w:r>
        <w:rPr>
          <w:rFonts w:ascii="Arial" w:eastAsia="Arial" w:hAnsi="Arial" w:cs="Arial"/>
          <w:b/>
        </w:rPr>
        <w:t xml:space="preserve">Catégories de danger Accord de coopération 16 février 2016 </w:t>
      </w:r>
    </w:p>
    <w:p w:rsidR="0017642B" w:rsidRDefault="0017642B" w:rsidP="0017642B">
      <w:pPr>
        <w:spacing w:line="259" w:lineRule="auto"/>
        <w:ind w:left="52"/>
        <w:jc w:val="center"/>
      </w:pPr>
      <w:r>
        <w:rPr>
          <w:rFonts w:ascii="Arial" w:eastAsia="Arial" w:hAnsi="Arial" w:cs="Arial"/>
          <w:b/>
        </w:rPr>
        <w:t xml:space="preserve"> </w:t>
      </w:r>
    </w:p>
    <w:tbl>
      <w:tblPr>
        <w:tblW w:w="9232" w:type="dxa"/>
        <w:tblInd w:w="-70" w:type="dxa"/>
        <w:tblCellMar>
          <w:top w:w="20" w:type="dxa"/>
          <w:left w:w="0" w:type="dxa"/>
          <w:right w:w="1" w:type="dxa"/>
        </w:tblCellMar>
        <w:tblLook w:val="04A0" w:firstRow="1" w:lastRow="0" w:firstColumn="1" w:lastColumn="0" w:noHBand="0" w:noVBand="1"/>
      </w:tblPr>
      <w:tblGrid>
        <w:gridCol w:w="4653"/>
        <w:gridCol w:w="762"/>
        <w:gridCol w:w="766"/>
        <w:gridCol w:w="1524"/>
        <w:gridCol w:w="1527"/>
      </w:tblGrid>
      <w:tr w:rsidR="0017642B" w:rsidTr="00A700D4">
        <w:trPr>
          <w:trHeight w:val="392"/>
        </w:trPr>
        <w:tc>
          <w:tcPr>
            <w:tcW w:w="4654" w:type="dxa"/>
            <w:tcBorders>
              <w:top w:val="single" w:sz="6" w:space="0" w:color="000000"/>
              <w:left w:val="nil"/>
              <w:bottom w:val="single" w:sz="6" w:space="0" w:color="000000"/>
              <w:right w:val="single" w:sz="6" w:space="0" w:color="000000"/>
            </w:tcBorders>
            <w:shd w:val="clear" w:color="auto" w:fill="auto"/>
          </w:tcPr>
          <w:p w:rsidR="0017642B" w:rsidRPr="00B20B6E" w:rsidRDefault="0017642B" w:rsidP="00B20B6E">
            <w:pPr>
              <w:spacing w:line="259" w:lineRule="auto"/>
              <w:ind w:left="3"/>
              <w:jc w:val="center"/>
              <w:rPr>
                <w:sz w:val="22"/>
                <w:szCs w:val="22"/>
              </w:rPr>
            </w:pPr>
            <w:r w:rsidRPr="00B20B6E">
              <w:rPr>
                <w:rFonts w:ascii="Calibri" w:eastAsia="Calibri" w:hAnsi="Calibri" w:cs="Calibri"/>
                <w:b/>
                <w:sz w:val="16"/>
                <w:szCs w:val="22"/>
              </w:rPr>
              <w:t xml:space="preserve">Catégorie de danger </w:t>
            </w:r>
          </w:p>
        </w:tc>
        <w:tc>
          <w:tcPr>
            <w:tcW w:w="1527" w:type="dxa"/>
            <w:gridSpan w:val="2"/>
            <w:tcBorders>
              <w:top w:val="single" w:sz="6"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jc w:val="center"/>
              <w:rPr>
                <w:sz w:val="22"/>
                <w:szCs w:val="22"/>
              </w:rPr>
            </w:pPr>
            <w:r w:rsidRPr="00B20B6E">
              <w:rPr>
                <w:rFonts w:ascii="Calibri" w:eastAsia="Calibri" w:hAnsi="Calibri" w:cs="Calibri"/>
                <w:b/>
                <w:sz w:val="16"/>
                <w:szCs w:val="22"/>
              </w:rPr>
              <w:t xml:space="preserve">Quantité seuil en tonnes </w:t>
            </w:r>
          </w:p>
        </w:tc>
        <w:tc>
          <w:tcPr>
            <w:tcW w:w="3051" w:type="dxa"/>
            <w:gridSpan w:val="2"/>
            <w:tcBorders>
              <w:top w:val="single" w:sz="6" w:space="0" w:color="000000"/>
              <w:left w:val="single" w:sz="6" w:space="0" w:color="000000"/>
              <w:bottom w:val="single" w:sz="6" w:space="0" w:color="000000"/>
              <w:right w:val="nil"/>
            </w:tcBorders>
            <w:shd w:val="clear" w:color="auto" w:fill="F2F2F2"/>
          </w:tcPr>
          <w:p w:rsidR="0017642B" w:rsidRPr="00B20B6E" w:rsidRDefault="0017642B" w:rsidP="00B20B6E">
            <w:pPr>
              <w:spacing w:line="259" w:lineRule="auto"/>
              <w:ind w:right="217"/>
              <w:jc w:val="center"/>
              <w:rPr>
                <w:sz w:val="22"/>
                <w:szCs w:val="22"/>
              </w:rPr>
            </w:pPr>
            <w:r w:rsidRPr="00B20B6E">
              <w:rPr>
                <w:rFonts w:ascii="Calibri" w:eastAsia="Calibri" w:hAnsi="Calibri" w:cs="Calibri"/>
                <w:b/>
                <w:sz w:val="16"/>
                <w:szCs w:val="22"/>
              </w:rPr>
              <w:t xml:space="preserve">CLP </w:t>
            </w:r>
          </w:p>
        </w:tc>
      </w:tr>
      <w:tr w:rsidR="0017642B" w:rsidTr="00A700D4">
        <w:trPr>
          <w:trHeight w:val="752"/>
        </w:trPr>
        <w:tc>
          <w:tcPr>
            <w:tcW w:w="4654" w:type="dxa"/>
            <w:tcBorders>
              <w:top w:val="single" w:sz="6" w:space="0" w:color="000000"/>
              <w:left w:val="nil"/>
              <w:bottom w:val="single" w:sz="6"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rFonts w:ascii="Calibri" w:eastAsia="Calibri" w:hAnsi="Calibri" w:cs="Calibri"/>
                <w:b/>
                <w:sz w:val="16"/>
                <w:szCs w:val="22"/>
              </w:rPr>
              <w:t xml:space="preserve"> </w:t>
            </w:r>
          </w:p>
        </w:tc>
        <w:tc>
          <w:tcPr>
            <w:tcW w:w="762" w:type="dxa"/>
            <w:tcBorders>
              <w:top w:val="single" w:sz="6"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right="1"/>
              <w:jc w:val="center"/>
              <w:rPr>
                <w:sz w:val="22"/>
                <w:szCs w:val="22"/>
              </w:rPr>
            </w:pPr>
            <w:r w:rsidRPr="00B20B6E">
              <w:rPr>
                <w:rFonts w:ascii="Calibri" w:eastAsia="Calibri" w:hAnsi="Calibri" w:cs="Calibri"/>
                <w:b/>
                <w:sz w:val="16"/>
                <w:szCs w:val="22"/>
              </w:rPr>
              <w:t>Bas</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right="2"/>
              <w:jc w:val="center"/>
              <w:rPr>
                <w:sz w:val="22"/>
                <w:szCs w:val="22"/>
              </w:rPr>
            </w:pPr>
            <w:r w:rsidRPr="00B20B6E">
              <w:rPr>
                <w:rFonts w:ascii="Calibri" w:eastAsia="Calibri" w:hAnsi="Calibri" w:cs="Calibri"/>
                <w:b/>
                <w:sz w:val="16"/>
                <w:szCs w:val="22"/>
              </w:rPr>
              <w:t>Haut</w:t>
            </w:r>
          </w:p>
        </w:tc>
        <w:tc>
          <w:tcPr>
            <w:tcW w:w="1524" w:type="dxa"/>
            <w:tcBorders>
              <w:top w:val="single" w:sz="6" w:space="0" w:color="000000"/>
              <w:left w:val="single" w:sz="6" w:space="0" w:color="000000"/>
              <w:bottom w:val="single" w:sz="6" w:space="0" w:color="000000"/>
              <w:right w:val="single" w:sz="6" w:space="0" w:color="000000"/>
            </w:tcBorders>
            <w:shd w:val="clear" w:color="auto" w:fill="F2F2F2"/>
          </w:tcPr>
          <w:p w:rsidR="0017642B" w:rsidRPr="0030089A" w:rsidRDefault="0017642B" w:rsidP="00A156AA">
            <w:pPr>
              <w:spacing w:after="16" w:line="241" w:lineRule="auto"/>
              <w:ind w:left="151" w:right="131" w:hanging="62"/>
              <w:rPr>
                <w:rFonts w:ascii="Calibri" w:hAnsi="Calibri" w:cs="Calibri"/>
                <w:sz w:val="16"/>
                <w:szCs w:val="16"/>
              </w:rPr>
            </w:pPr>
            <w:r w:rsidRPr="00B20B6E">
              <w:rPr>
                <w:rFonts w:ascii="Calibri" w:eastAsia="Calibri" w:hAnsi="Calibri" w:cs="Calibri"/>
                <w:b/>
                <w:sz w:val="16"/>
                <w:szCs w:val="22"/>
              </w:rPr>
              <w:t xml:space="preserve">Code de la classe et catégorie de danger </w:t>
            </w:r>
            <w:r w:rsidRPr="0030089A">
              <w:rPr>
                <w:rFonts w:ascii="Calibri" w:hAnsi="Calibri" w:cs="Calibri"/>
                <w:sz w:val="16"/>
                <w:szCs w:val="16"/>
              </w:rPr>
              <w:t>(</w:t>
            </w:r>
            <w:r w:rsidRPr="0030089A">
              <w:rPr>
                <w:rFonts w:ascii="Calibri" w:eastAsia="Calibri" w:hAnsi="Calibri" w:cs="Calibri"/>
                <w:i/>
                <w:sz w:val="16"/>
                <w:szCs w:val="16"/>
              </w:rPr>
              <w:t xml:space="preserve">rubrique </w:t>
            </w:r>
          </w:p>
          <w:p w:rsidR="0017642B" w:rsidRPr="00B20B6E" w:rsidRDefault="0017642B" w:rsidP="00B20B6E">
            <w:pPr>
              <w:spacing w:line="259" w:lineRule="auto"/>
              <w:ind w:left="243"/>
              <w:rPr>
                <w:sz w:val="22"/>
                <w:szCs w:val="22"/>
              </w:rPr>
            </w:pPr>
            <w:r w:rsidRPr="0030089A">
              <w:rPr>
                <w:rFonts w:ascii="Calibri" w:eastAsia="Calibri" w:hAnsi="Calibri" w:cs="Calibri"/>
                <w:i/>
                <w:sz w:val="16"/>
                <w:szCs w:val="16"/>
              </w:rPr>
              <w:t>2.1 de la FDS</w:t>
            </w:r>
            <w:r w:rsidRPr="0030089A">
              <w:rPr>
                <w:rFonts w:ascii="Calibri" w:eastAsia="Calibri" w:hAnsi="Calibri" w:cs="Calibri"/>
                <w:i/>
                <w:sz w:val="16"/>
                <w:szCs w:val="16"/>
                <w:vertAlign w:val="superscript"/>
              </w:rPr>
              <w:t>1</w:t>
            </w:r>
            <w:r w:rsidRPr="0030089A">
              <w:rPr>
                <w:rFonts w:ascii="Calibri" w:eastAsia="Calibri" w:hAnsi="Calibri" w:cs="Calibri"/>
                <w:i/>
                <w:sz w:val="16"/>
                <w:szCs w:val="16"/>
              </w:rPr>
              <w:t>)</w:t>
            </w:r>
            <w:r w:rsidRPr="00B20B6E">
              <w:rPr>
                <w:rFonts w:ascii="Calibri" w:eastAsia="Calibri" w:hAnsi="Calibri" w:cs="Calibri"/>
                <w:i/>
                <w:sz w:val="16"/>
                <w:szCs w:val="22"/>
              </w:rPr>
              <w:t xml:space="preserve"> </w:t>
            </w:r>
          </w:p>
        </w:tc>
        <w:tc>
          <w:tcPr>
            <w:tcW w:w="1526" w:type="dxa"/>
            <w:tcBorders>
              <w:top w:val="single" w:sz="6" w:space="0" w:color="000000"/>
              <w:left w:val="single" w:sz="6" w:space="0" w:color="000000"/>
              <w:bottom w:val="single" w:sz="6" w:space="0" w:color="000000"/>
              <w:right w:val="nil"/>
            </w:tcBorders>
            <w:shd w:val="clear" w:color="auto" w:fill="F2F2F2"/>
          </w:tcPr>
          <w:p w:rsidR="0017642B" w:rsidRPr="00B20B6E" w:rsidRDefault="0017642B" w:rsidP="00B20B6E">
            <w:pPr>
              <w:spacing w:line="259" w:lineRule="auto"/>
              <w:ind w:left="97"/>
              <w:rPr>
                <w:sz w:val="22"/>
                <w:szCs w:val="22"/>
              </w:rPr>
            </w:pPr>
            <w:r w:rsidRPr="00B20B6E">
              <w:rPr>
                <w:rFonts w:ascii="Calibri" w:eastAsia="Calibri" w:hAnsi="Calibri" w:cs="Calibri"/>
                <w:b/>
                <w:sz w:val="16"/>
                <w:szCs w:val="22"/>
              </w:rPr>
              <w:t xml:space="preserve">Phrase H ou EUH </w:t>
            </w:r>
          </w:p>
          <w:p w:rsidR="0017642B" w:rsidRPr="00A156AA" w:rsidRDefault="0017642B" w:rsidP="00B20B6E">
            <w:pPr>
              <w:spacing w:line="259" w:lineRule="auto"/>
              <w:ind w:left="373" w:right="126" w:hanging="288"/>
              <w:rPr>
                <w:sz w:val="16"/>
                <w:szCs w:val="16"/>
              </w:rPr>
            </w:pPr>
            <w:r w:rsidRPr="00A156AA">
              <w:rPr>
                <w:rFonts w:ascii="Calibri" w:eastAsia="Calibri" w:hAnsi="Calibri" w:cs="Calibri"/>
                <w:i/>
                <w:sz w:val="16"/>
                <w:szCs w:val="16"/>
              </w:rPr>
              <w:t>(rubriques 2.1 et 2.2 de la FDS</w:t>
            </w:r>
            <w:r w:rsidR="00A156AA">
              <w:rPr>
                <w:rFonts w:ascii="Calibri" w:eastAsia="Calibri" w:hAnsi="Calibri" w:cs="Calibri"/>
                <w:i/>
                <w:sz w:val="16"/>
                <w:szCs w:val="16"/>
              </w:rPr>
              <w:t>)</w:t>
            </w:r>
          </w:p>
        </w:tc>
      </w:tr>
      <w:tr w:rsidR="0017642B" w:rsidTr="00A700D4">
        <w:trPr>
          <w:trHeight w:val="438"/>
        </w:trPr>
        <w:tc>
          <w:tcPr>
            <w:tcW w:w="6182" w:type="dxa"/>
            <w:gridSpan w:val="3"/>
            <w:tcBorders>
              <w:top w:val="single" w:sz="6" w:space="0" w:color="000000"/>
              <w:left w:val="nil"/>
              <w:bottom w:val="single" w:sz="6" w:space="0" w:color="000000"/>
              <w:right w:val="nil"/>
            </w:tcBorders>
            <w:shd w:val="clear" w:color="auto" w:fill="D99594"/>
            <w:vAlign w:val="center"/>
          </w:tcPr>
          <w:p w:rsidR="0017642B" w:rsidRPr="00B20B6E" w:rsidRDefault="0017642B" w:rsidP="00B20B6E">
            <w:pPr>
              <w:spacing w:line="259" w:lineRule="auto"/>
              <w:ind w:left="70"/>
              <w:rPr>
                <w:sz w:val="22"/>
                <w:szCs w:val="22"/>
              </w:rPr>
            </w:pPr>
            <w:r w:rsidRPr="00B20B6E">
              <w:rPr>
                <w:rFonts w:ascii="Calibri" w:eastAsia="Calibri" w:hAnsi="Calibri" w:cs="Calibri"/>
                <w:b/>
                <w:sz w:val="16"/>
                <w:szCs w:val="22"/>
              </w:rPr>
              <w:t xml:space="preserve">Section P — DANGERS PHYSIQUES </w:t>
            </w:r>
          </w:p>
        </w:tc>
        <w:tc>
          <w:tcPr>
            <w:tcW w:w="1524" w:type="dxa"/>
            <w:tcBorders>
              <w:top w:val="single" w:sz="6" w:space="0" w:color="000000"/>
              <w:left w:val="nil"/>
              <w:bottom w:val="single" w:sz="6" w:space="0" w:color="000000"/>
              <w:right w:val="nil"/>
            </w:tcBorders>
            <w:shd w:val="clear" w:color="auto" w:fill="D99594"/>
          </w:tcPr>
          <w:p w:rsidR="0017642B" w:rsidRPr="00B20B6E" w:rsidRDefault="0017642B" w:rsidP="00B20B6E">
            <w:pPr>
              <w:spacing w:after="160" w:line="259" w:lineRule="auto"/>
              <w:rPr>
                <w:sz w:val="22"/>
                <w:szCs w:val="22"/>
              </w:rPr>
            </w:pPr>
          </w:p>
        </w:tc>
        <w:tc>
          <w:tcPr>
            <w:tcW w:w="1526" w:type="dxa"/>
            <w:tcBorders>
              <w:top w:val="single" w:sz="6" w:space="0" w:color="000000"/>
              <w:left w:val="nil"/>
              <w:bottom w:val="single" w:sz="6" w:space="0" w:color="000000"/>
              <w:right w:val="nil"/>
            </w:tcBorders>
            <w:shd w:val="clear" w:color="auto" w:fill="D99594"/>
          </w:tcPr>
          <w:p w:rsidR="0017642B" w:rsidRPr="00B20B6E" w:rsidRDefault="0017642B" w:rsidP="00B20B6E">
            <w:pPr>
              <w:spacing w:after="160" w:line="259" w:lineRule="auto"/>
              <w:rPr>
                <w:sz w:val="22"/>
                <w:szCs w:val="22"/>
              </w:rPr>
            </w:pPr>
          </w:p>
        </w:tc>
      </w:tr>
      <w:tr w:rsidR="0017642B" w:rsidTr="00A700D4">
        <w:trPr>
          <w:trHeight w:val="320"/>
        </w:trPr>
        <w:tc>
          <w:tcPr>
            <w:tcW w:w="4654" w:type="dxa"/>
            <w:tcBorders>
              <w:top w:val="single" w:sz="6" w:space="0" w:color="000000"/>
              <w:left w:val="nil"/>
              <w:bottom w:val="single" w:sz="6" w:space="0" w:color="000000"/>
              <w:right w:val="single" w:sz="6" w:space="0" w:color="000000"/>
            </w:tcBorders>
            <w:shd w:val="clear" w:color="auto" w:fill="F2DBDB"/>
          </w:tcPr>
          <w:p w:rsidR="0017642B" w:rsidRPr="00B20B6E" w:rsidRDefault="0017642B" w:rsidP="00B20B6E">
            <w:pPr>
              <w:spacing w:line="259" w:lineRule="auto"/>
              <w:ind w:left="70"/>
              <w:rPr>
                <w:sz w:val="22"/>
                <w:szCs w:val="22"/>
              </w:rPr>
            </w:pPr>
            <w:r w:rsidRPr="00B20B6E">
              <w:rPr>
                <w:rFonts w:ascii="Calibri" w:eastAsia="Calibri" w:hAnsi="Calibri" w:cs="Calibri"/>
                <w:b/>
                <w:sz w:val="16"/>
                <w:szCs w:val="22"/>
              </w:rPr>
              <w:t>P1a. EXPLOSIBLES </w:t>
            </w:r>
            <w:r w:rsidRPr="00B20B6E">
              <w:rPr>
                <w:rFonts w:ascii="Calibri" w:eastAsia="Calibri" w:hAnsi="Calibri" w:cs="Calibri"/>
                <w:b/>
                <w:sz w:val="16"/>
                <w:szCs w:val="22"/>
                <w:vertAlign w:val="superscript"/>
              </w:rPr>
              <w:t>!</w:t>
            </w:r>
          </w:p>
        </w:tc>
        <w:tc>
          <w:tcPr>
            <w:tcW w:w="762" w:type="dxa"/>
            <w:tcBorders>
              <w:top w:val="single" w:sz="6" w:space="0" w:color="000000"/>
              <w:left w:val="single" w:sz="6" w:space="0" w:color="000000"/>
              <w:bottom w:val="single" w:sz="6" w:space="0" w:color="000000"/>
              <w:right w:val="single" w:sz="6" w:space="0" w:color="000000"/>
            </w:tcBorders>
            <w:shd w:val="clear" w:color="auto" w:fill="F2DBDB"/>
          </w:tcPr>
          <w:p w:rsidR="0017642B" w:rsidRPr="00B20B6E" w:rsidRDefault="0017642B" w:rsidP="00B20B6E">
            <w:pPr>
              <w:spacing w:line="259" w:lineRule="auto"/>
              <w:ind w:right="1"/>
              <w:jc w:val="center"/>
              <w:rPr>
                <w:sz w:val="22"/>
                <w:szCs w:val="22"/>
              </w:rPr>
            </w:pPr>
            <w:r w:rsidRPr="00B20B6E">
              <w:rPr>
                <w:rFonts w:ascii="Calibri" w:eastAsia="Calibri" w:hAnsi="Calibri" w:cs="Calibri"/>
                <w:b/>
                <w:sz w:val="16"/>
                <w:szCs w:val="22"/>
              </w:rPr>
              <w:t xml:space="preserve">10 </w:t>
            </w:r>
          </w:p>
        </w:tc>
        <w:tc>
          <w:tcPr>
            <w:tcW w:w="764" w:type="dxa"/>
            <w:tcBorders>
              <w:top w:val="single" w:sz="6" w:space="0" w:color="000000"/>
              <w:left w:val="single" w:sz="6" w:space="0" w:color="000000"/>
              <w:bottom w:val="single" w:sz="6" w:space="0" w:color="000000"/>
              <w:right w:val="single" w:sz="6" w:space="0" w:color="000000"/>
            </w:tcBorders>
            <w:shd w:val="clear" w:color="auto" w:fill="F2DBDB"/>
          </w:tcPr>
          <w:p w:rsidR="0017642B" w:rsidRPr="00B20B6E" w:rsidRDefault="0017642B" w:rsidP="00B20B6E">
            <w:pPr>
              <w:spacing w:line="259" w:lineRule="auto"/>
              <w:ind w:right="3"/>
              <w:jc w:val="center"/>
              <w:rPr>
                <w:sz w:val="22"/>
                <w:szCs w:val="22"/>
              </w:rPr>
            </w:pPr>
            <w:r w:rsidRPr="00B20B6E">
              <w:rPr>
                <w:rFonts w:ascii="Calibri" w:eastAsia="Calibri" w:hAnsi="Calibri" w:cs="Calibri"/>
                <w:b/>
                <w:sz w:val="16"/>
                <w:szCs w:val="22"/>
              </w:rPr>
              <w:t xml:space="preserve">50 </w:t>
            </w:r>
          </w:p>
        </w:tc>
        <w:tc>
          <w:tcPr>
            <w:tcW w:w="1524" w:type="dxa"/>
            <w:tcBorders>
              <w:top w:val="single" w:sz="6" w:space="0" w:color="000000"/>
              <w:left w:val="single" w:sz="6" w:space="0" w:color="000000"/>
              <w:bottom w:val="single" w:sz="6" w:space="0" w:color="000000"/>
              <w:right w:val="nil"/>
            </w:tcBorders>
            <w:shd w:val="clear" w:color="auto" w:fill="F2DBDB"/>
          </w:tcPr>
          <w:p w:rsidR="0017642B" w:rsidRPr="00B20B6E" w:rsidRDefault="0017642B" w:rsidP="00B20B6E">
            <w:pPr>
              <w:spacing w:line="259" w:lineRule="auto"/>
              <w:ind w:left="68"/>
              <w:rPr>
                <w:sz w:val="22"/>
                <w:szCs w:val="22"/>
              </w:rPr>
            </w:pPr>
            <w:r w:rsidRPr="00B20B6E">
              <w:rPr>
                <w:rFonts w:ascii="Calibri" w:eastAsia="Calibri" w:hAnsi="Calibri" w:cs="Calibri"/>
                <w:b/>
                <w:color w:val="1F497C"/>
                <w:sz w:val="16"/>
                <w:szCs w:val="22"/>
              </w:rPr>
              <w:t xml:space="preserve"> </w:t>
            </w:r>
          </w:p>
        </w:tc>
        <w:tc>
          <w:tcPr>
            <w:tcW w:w="1526" w:type="dxa"/>
            <w:tcBorders>
              <w:top w:val="single" w:sz="6" w:space="0" w:color="000000"/>
              <w:left w:val="nil"/>
              <w:bottom w:val="single" w:sz="6" w:space="0" w:color="000000"/>
              <w:right w:val="nil"/>
            </w:tcBorders>
            <w:shd w:val="clear" w:color="auto" w:fill="F2DBDB"/>
          </w:tcPr>
          <w:p w:rsidR="0017642B" w:rsidRPr="00B20B6E" w:rsidRDefault="0017642B" w:rsidP="00B20B6E">
            <w:pPr>
              <w:spacing w:after="160" w:line="259" w:lineRule="auto"/>
              <w:rPr>
                <w:sz w:val="22"/>
                <w:szCs w:val="22"/>
              </w:rPr>
            </w:pPr>
          </w:p>
        </w:tc>
      </w:tr>
      <w:tr w:rsidR="0017642B" w:rsidTr="00A700D4">
        <w:trPr>
          <w:trHeight w:val="260"/>
        </w:trPr>
        <w:tc>
          <w:tcPr>
            <w:tcW w:w="4654" w:type="dxa"/>
            <w:tcBorders>
              <w:top w:val="single" w:sz="6" w:space="0" w:color="000000"/>
              <w:left w:val="nil"/>
              <w:bottom w:val="single" w:sz="4" w:space="0" w:color="000000"/>
              <w:right w:val="single" w:sz="6" w:space="0" w:color="000000"/>
            </w:tcBorders>
            <w:shd w:val="clear" w:color="auto" w:fill="auto"/>
          </w:tcPr>
          <w:p w:rsidR="0017642B" w:rsidRPr="00B20B6E" w:rsidRDefault="0017642B" w:rsidP="00B20B6E">
            <w:pPr>
              <w:spacing w:line="259" w:lineRule="auto"/>
              <w:ind w:left="70"/>
              <w:rPr>
                <w:sz w:val="22"/>
                <w:szCs w:val="22"/>
              </w:rPr>
            </w:pPr>
            <w:r w:rsidRPr="00B20B6E">
              <w:rPr>
                <w:sz w:val="16"/>
                <w:szCs w:val="22"/>
              </w:rPr>
              <w:t xml:space="preserve">Explosibles instables </w:t>
            </w:r>
          </w:p>
        </w:tc>
        <w:tc>
          <w:tcPr>
            <w:tcW w:w="762" w:type="dxa"/>
            <w:tcBorders>
              <w:top w:val="single" w:sz="6"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sz w:val="16"/>
                <w:szCs w:val="22"/>
              </w:rPr>
              <w:t xml:space="preserve"> </w:t>
            </w:r>
          </w:p>
        </w:tc>
        <w:tc>
          <w:tcPr>
            <w:tcW w:w="764" w:type="dxa"/>
            <w:tcBorders>
              <w:top w:val="single" w:sz="6"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4"/>
              <w:jc w:val="center"/>
              <w:rPr>
                <w:sz w:val="22"/>
                <w:szCs w:val="22"/>
              </w:rPr>
            </w:pPr>
            <w:r w:rsidRPr="00B20B6E">
              <w:rPr>
                <w:sz w:val="16"/>
                <w:szCs w:val="22"/>
              </w:rPr>
              <w:t xml:space="preserve"> </w:t>
            </w:r>
          </w:p>
        </w:tc>
        <w:tc>
          <w:tcPr>
            <w:tcW w:w="1524" w:type="dxa"/>
            <w:tcBorders>
              <w:top w:val="single" w:sz="6" w:space="0" w:color="000000"/>
              <w:left w:val="single" w:sz="6" w:space="0" w:color="000000"/>
              <w:bottom w:val="single" w:sz="4" w:space="0" w:color="000000"/>
              <w:right w:val="single" w:sz="6" w:space="0" w:color="000000"/>
            </w:tcBorders>
            <w:shd w:val="clear" w:color="auto" w:fill="F2F2F2"/>
          </w:tcPr>
          <w:p w:rsidR="0017642B" w:rsidRPr="00B20B6E" w:rsidRDefault="0017642B" w:rsidP="00B20B6E">
            <w:pPr>
              <w:spacing w:line="259" w:lineRule="auto"/>
              <w:ind w:left="68"/>
              <w:rPr>
                <w:sz w:val="22"/>
                <w:szCs w:val="22"/>
              </w:rPr>
            </w:pPr>
            <w:r w:rsidRPr="00B20B6E">
              <w:rPr>
                <w:sz w:val="16"/>
                <w:szCs w:val="22"/>
              </w:rPr>
              <w:t xml:space="preserve">Unst. </w:t>
            </w:r>
            <w:proofErr w:type="spellStart"/>
            <w:r w:rsidRPr="00B20B6E">
              <w:rPr>
                <w:sz w:val="16"/>
                <w:szCs w:val="22"/>
              </w:rPr>
              <w:t>Expl</w:t>
            </w:r>
            <w:proofErr w:type="spellEnd"/>
            <w:r w:rsidRPr="00B20B6E">
              <w:rPr>
                <w:sz w:val="16"/>
                <w:szCs w:val="22"/>
              </w:rPr>
              <w:t xml:space="preserve">. </w:t>
            </w:r>
          </w:p>
        </w:tc>
        <w:tc>
          <w:tcPr>
            <w:tcW w:w="1526" w:type="dxa"/>
            <w:tcBorders>
              <w:top w:val="single" w:sz="6" w:space="0" w:color="000000"/>
              <w:left w:val="single" w:sz="6" w:space="0" w:color="000000"/>
              <w:bottom w:val="single" w:sz="4" w:space="0" w:color="000000"/>
              <w:right w:val="nil"/>
            </w:tcBorders>
            <w:shd w:val="clear" w:color="auto" w:fill="F2F2F2"/>
          </w:tcPr>
          <w:p w:rsidR="0017642B" w:rsidRPr="00B20B6E" w:rsidRDefault="0017642B" w:rsidP="00B20B6E">
            <w:pPr>
              <w:spacing w:line="259" w:lineRule="auto"/>
              <w:ind w:left="71"/>
              <w:rPr>
                <w:sz w:val="22"/>
                <w:szCs w:val="22"/>
              </w:rPr>
            </w:pPr>
            <w:r w:rsidRPr="00B20B6E">
              <w:rPr>
                <w:sz w:val="16"/>
                <w:szCs w:val="22"/>
              </w:rPr>
              <w:t xml:space="preserve">H200 </w:t>
            </w:r>
          </w:p>
        </w:tc>
      </w:tr>
      <w:tr w:rsidR="0017642B" w:rsidTr="00A700D4">
        <w:trPr>
          <w:trHeight w:val="1209"/>
        </w:trPr>
        <w:tc>
          <w:tcPr>
            <w:tcW w:w="4654" w:type="dxa"/>
            <w:tcBorders>
              <w:top w:val="single" w:sz="4" w:space="0" w:color="000000"/>
              <w:left w:val="nil"/>
              <w:bottom w:val="single" w:sz="4" w:space="0" w:color="000000"/>
              <w:right w:val="single" w:sz="6" w:space="0" w:color="000000"/>
            </w:tcBorders>
            <w:shd w:val="clear" w:color="auto" w:fill="auto"/>
          </w:tcPr>
          <w:p w:rsidR="0017642B" w:rsidRPr="00B20B6E" w:rsidRDefault="0017642B" w:rsidP="00B20B6E">
            <w:pPr>
              <w:spacing w:line="259" w:lineRule="auto"/>
              <w:ind w:left="70"/>
              <w:rPr>
                <w:sz w:val="22"/>
                <w:szCs w:val="22"/>
              </w:rPr>
            </w:pPr>
            <w:r w:rsidRPr="00B20B6E">
              <w:rPr>
                <w:sz w:val="16"/>
                <w:szCs w:val="22"/>
              </w:rPr>
              <w:t xml:space="preserve">Explosibles, division : </w:t>
            </w:r>
          </w:p>
          <w:p w:rsidR="0017642B" w:rsidRPr="00B20B6E" w:rsidRDefault="0017642B" w:rsidP="00B20B6E">
            <w:pPr>
              <w:spacing w:line="239" w:lineRule="auto"/>
              <w:ind w:left="211" w:right="3990"/>
              <w:rPr>
                <w:sz w:val="22"/>
                <w:szCs w:val="22"/>
              </w:rPr>
            </w:pPr>
            <w:r w:rsidRPr="00B20B6E">
              <w:rPr>
                <w:sz w:val="16"/>
                <w:szCs w:val="22"/>
              </w:rPr>
              <w:t xml:space="preserve">1.1 1.2 1.3 1.5 </w:t>
            </w:r>
          </w:p>
          <w:p w:rsidR="0017642B" w:rsidRPr="00B20B6E" w:rsidRDefault="0017642B" w:rsidP="00B20B6E">
            <w:pPr>
              <w:spacing w:line="259" w:lineRule="auto"/>
              <w:ind w:left="211"/>
              <w:rPr>
                <w:sz w:val="22"/>
                <w:szCs w:val="22"/>
              </w:rPr>
            </w:pPr>
            <w:r w:rsidRPr="00B20B6E">
              <w:rPr>
                <w:sz w:val="16"/>
                <w:szCs w:val="22"/>
              </w:rPr>
              <w:t xml:space="preserve">1.6 </w:t>
            </w:r>
          </w:p>
        </w:tc>
        <w:tc>
          <w:tcPr>
            <w:tcW w:w="762" w:type="dxa"/>
            <w:tcBorders>
              <w:top w:val="single" w:sz="4"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sz w:val="16"/>
                <w:szCs w:val="22"/>
              </w:rPr>
              <w:t xml:space="preserve"> </w:t>
            </w:r>
          </w:p>
        </w:tc>
        <w:tc>
          <w:tcPr>
            <w:tcW w:w="764" w:type="dxa"/>
            <w:tcBorders>
              <w:top w:val="single" w:sz="4"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4"/>
              <w:jc w:val="center"/>
              <w:rPr>
                <w:sz w:val="22"/>
                <w:szCs w:val="22"/>
              </w:rPr>
            </w:pPr>
            <w:r w:rsidRPr="00B20B6E">
              <w:rPr>
                <w:sz w:val="16"/>
                <w:szCs w:val="22"/>
              </w:rPr>
              <w:t xml:space="preserve"> </w:t>
            </w:r>
          </w:p>
        </w:tc>
        <w:tc>
          <w:tcPr>
            <w:tcW w:w="1524" w:type="dxa"/>
            <w:tcBorders>
              <w:top w:val="single" w:sz="4" w:space="0" w:color="000000"/>
              <w:left w:val="single" w:sz="6" w:space="0" w:color="000000"/>
              <w:bottom w:val="single" w:sz="4" w:space="0" w:color="000000"/>
              <w:right w:val="single" w:sz="6" w:space="0" w:color="000000"/>
            </w:tcBorders>
            <w:shd w:val="clear" w:color="auto" w:fill="F2F2F2"/>
          </w:tcPr>
          <w:p w:rsidR="0017642B" w:rsidRPr="00B20B6E" w:rsidRDefault="0017642B" w:rsidP="00B20B6E">
            <w:pPr>
              <w:spacing w:line="259" w:lineRule="auto"/>
              <w:ind w:left="68"/>
              <w:rPr>
                <w:sz w:val="22"/>
                <w:szCs w:val="22"/>
              </w:rPr>
            </w:pPr>
            <w:r w:rsidRPr="00B20B6E">
              <w:rPr>
                <w:sz w:val="16"/>
                <w:szCs w:val="22"/>
              </w:rPr>
              <w:t xml:space="preserve"> </w:t>
            </w:r>
          </w:p>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1.1 </w:t>
            </w:r>
          </w:p>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1.2 </w:t>
            </w:r>
          </w:p>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1.3 </w:t>
            </w:r>
          </w:p>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1.5 </w:t>
            </w:r>
          </w:p>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1.6 </w:t>
            </w:r>
          </w:p>
        </w:tc>
        <w:tc>
          <w:tcPr>
            <w:tcW w:w="1526" w:type="dxa"/>
            <w:tcBorders>
              <w:top w:val="single" w:sz="4" w:space="0" w:color="000000"/>
              <w:left w:val="single" w:sz="6" w:space="0" w:color="000000"/>
              <w:bottom w:val="single" w:sz="4" w:space="0" w:color="000000"/>
              <w:right w:val="nil"/>
            </w:tcBorders>
            <w:shd w:val="clear" w:color="auto" w:fill="F2F2F2"/>
          </w:tcPr>
          <w:p w:rsidR="0017642B" w:rsidRPr="00B20B6E" w:rsidRDefault="0017642B" w:rsidP="00B20B6E">
            <w:pPr>
              <w:spacing w:line="259" w:lineRule="auto"/>
              <w:ind w:left="71"/>
              <w:rPr>
                <w:sz w:val="22"/>
                <w:szCs w:val="22"/>
              </w:rPr>
            </w:pPr>
            <w:r w:rsidRPr="00B20B6E">
              <w:rPr>
                <w:sz w:val="16"/>
                <w:szCs w:val="22"/>
              </w:rPr>
              <w:t xml:space="preserve"> </w:t>
            </w:r>
          </w:p>
          <w:p w:rsidR="0017642B" w:rsidRPr="00B20B6E" w:rsidRDefault="0017642B" w:rsidP="00B20B6E">
            <w:pPr>
              <w:spacing w:line="259" w:lineRule="auto"/>
              <w:ind w:left="71"/>
              <w:rPr>
                <w:sz w:val="22"/>
                <w:szCs w:val="22"/>
              </w:rPr>
            </w:pPr>
            <w:r w:rsidRPr="00B20B6E">
              <w:rPr>
                <w:sz w:val="16"/>
                <w:szCs w:val="22"/>
              </w:rPr>
              <w:t xml:space="preserve">H201 </w:t>
            </w:r>
          </w:p>
          <w:p w:rsidR="0017642B" w:rsidRPr="00B20B6E" w:rsidRDefault="0017642B" w:rsidP="00B20B6E">
            <w:pPr>
              <w:spacing w:line="259" w:lineRule="auto"/>
              <w:ind w:left="71"/>
              <w:rPr>
                <w:sz w:val="22"/>
                <w:szCs w:val="22"/>
              </w:rPr>
            </w:pPr>
            <w:r w:rsidRPr="00B20B6E">
              <w:rPr>
                <w:sz w:val="16"/>
                <w:szCs w:val="22"/>
              </w:rPr>
              <w:t xml:space="preserve">H202 </w:t>
            </w:r>
          </w:p>
          <w:p w:rsidR="0017642B" w:rsidRPr="00B20B6E" w:rsidRDefault="0017642B" w:rsidP="00B20B6E">
            <w:pPr>
              <w:spacing w:line="259" w:lineRule="auto"/>
              <w:ind w:left="71"/>
              <w:rPr>
                <w:sz w:val="22"/>
                <w:szCs w:val="22"/>
              </w:rPr>
            </w:pPr>
            <w:r w:rsidRPr="00B20B6E">
              <w:rPr>
                <w:sz w:val="16"/>
                <w:szCs w:val="22"/>
              </w:rPr>
              <w:t xml:space="preserve">H203 </w:t>
            </w:r>
          </w:p>
          <w:p w:rsidR="0017642B" w:rsidRPr="00B20B6E" w:rsidRDefault="0017642B" w:rsidP="00B20B6E">
            <w:pPr>
              <w:spacing w:line="259" w:lineRule="auto"/>
              <w:ind w:left="71"/>
              <w:rPr>
                <w:sz w:val="22"/>
                <w:szCs w:val="22"/>
              </w:rPr>
            </w:pPr>
            <w:r w:rsidRPr="00B20B6E">
              <w:rPr>
                <w:sz w:val="16"/>
                <w:szCs w:val="22"/>
              </w:rPr>
              <w:t xml:space="preserve">H205 </w:t>
            </w:r>
          </w:p>
          <w:p w:rsidR="0017642B" w:rsidRPr="00B20B6E" w:rsidRDefault="0017642B" w:rsidP="00B20B6E">
            <w:pPr>
              <w:spacing w:line="259" w:lineRule="auto"/>
              <w:ind w:left="71"/>
              <w:rPr>
                <w:sz w:val="22"/>
                <w:szCs w:val="22"/>
              </w:rPr>
            </w:pPr>
            <w:r w:rsidRPr="00B20B6E">
              <w:rPr>
                <w:sz w:val="16"/>
                <w:szCs w:val="22"/>
              </w:rPr>
              <w:t xml:space="preserve">- </w:t>
            </w:r>
          </w:p>
        </w:tc>
      </w:tr>
      <w:tr w:rsidR="0017642B" w:rsidTr="00A700D4">
        <w:trPr>
          <w:trHeight w:val="827"/>
        </w:trPr>
        <w:tc>
          <w:tcPr>
            <w:tcW w:w="4654" w:type="dxa"/>
            <w:tcBorders>
              <w:top w:val="single" w:sz="4" w:space="0" w:color="000000"/>
              <w:left w:val="nil"/>
              <w:bottom w:val="single" w:sz="4" w:space="0" w:color="000000"/>
              <w:right w:val="single" w:sz="6" w:space="0" w:color="000000"/>
            </w:tcBorders>
            <w:shd w:val="clear" w:color="auto" w:fill="auto"/>
          </w:tcPr>
          <w:p w:rsidR="0017642B" w:rsidRPr="00B20B6E" w:rsidRDefault="0017642B" w:rsidP="00B20B6E">
            <w:pPr>
              <w:spacing w:line="260" w:lineRule="auto"/>
              <w:ind w:left="70"/>
              <w:rPr>
                <w:sz w:val="22"/>
                <w:szCs w:val="22"/>
              </w:rPr>
            </w:pPr>
            <w:r w:rsidRPr="00B20B6E">
              <w:rPr>
                <w:sz w:val="16"/>
                <w:szCs w:val="22"/>
              </w:rPr>
              <w:t>Substances et mélanges présentant un danger d'explosion déterminé selon la méthode A.14 du règlement (CE) no 440/2008 (</w:t>
            </w:r>
            <w:r w:rsidRPr="00B20B6E">
              <w:rPr>
                <w:sz w:val="16"/>
                <w:szCs w:val="22"/>
                <w:vertAlign w:val="superscript"/>
              </w:rPr>
              <w:t>9</w:t>
            </w:r>
            <w:r w:rsidRPr="00B20B6E">
              <w:rPr>
                <w:sz w:val="16"/>
                <w:szCs w:val="22"/>
              </w:rPr>
              <w:t xml:space="preserve">) et qui ne relèvent pas des classes de danger Peroxydes organiques ou </w:t>
            </w:r>
          </w:p>
          <w:p w:rsidR="0017642B" w:rsidRPr="00B20B6E" w:rsidRDefault="0017642B" w:rsidP="00B20B6E">
            <w:pPr>
              <w:spacing w:line="259" w:lineRule="auto"/>
              <w:ind w:left="70"/>
              <w:rPr>
                <w:sz w:val="22"/>
                <w:szCs w:val="22"/>
              </w:rPr>
            </w:pPr>
            <w:r w:rsidRPr="00B20B6E">
              <w:rPr>
                <w:sz w:val="16"/>
                <w:szCs w:val="22"/>
              </w:rPr>
              <w:t xml:space="preserve">Substances et mélanges </w:t>
            </w:r>
            <w:proofErr w:type="spellStart"/>
            <w:r w:rsidRPr="00B20B6E">
              <w:rPr>
                <w:sz w:val="16"/>
                <w:szCs w:val="22"/>
              </w:rPr>
              <w:t>autoréactifs</w:t>
            </w:r>
            <w:proofErr w:type="spellEnd"/>
          </w:p>
        </w:tc>
        <w:tc>
          <w:tcPr>
            <w:tcW w:w="762" w:type="dxa"/>
            <w:tcBorders>
              <w:top w:val="single" w:sz="4"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sz w:val="16"/>
                <w:szCs w:val="22"/>
              </w:rPr>
              <w:t xml:space="preserve"> </w:t>
            </w:r>
          </w:p>
        </w:tc>
        <w:tc>
          <w:tcPr>
            <w:tcW w:w="764" w:type="dxa"/>
            <w:tcBorders>
              <w:top w:val="single" w:sz="4" w:space="0" w:color="000000"/>
              <w:left w:val="single" w:sz="6" w:space="0" w:color="000000"/>
              <w:bottom w:val="single" w:sz="4" w:space="0" w:color="000000"/>
              <w:right w:val="single" w:sz="6" w:space="0" w:color="000000"/>
            </w:tcBorders>
            <w:shd w:val="clear" w:color="auto" w:fill="auto"/>
          </w:tcPr>
          <w:p w:rsidR="0017642B" w:rsidRPr="00B20B6E" w:rsidRDefault="0017642B" w:rsidP="00B20B6E">
            <w:pPr>
              <w:spacing w:line="259" w:lineRule="auto"/>
              <w:ind w:left="34"/>
              <w:jc w:val="center"/>
              <w:rPr>
                <w:sz w:val="22"/>
                <w:szCs w:val="22"/>
              </w:rPr>
            </w:pPr>
            <w:r w:rsidRPr="00B20B6E">
              <w:rPr>
                <w:sz w:val="16"/>
                <w:szCs w:val="22"/>
              </w:rPr>
              <w:t xml:space="preserve"> </w:t>
            </w:r>
          </w:p>
        </w:tc>
        <w:tc>
          <w:tcPr>
            <w:tcW w:w="1524" w:type="dxa"/>
            <w:tcBorders>
              <w:top w:val="single" w:sz="4" w:space="0" w:color="000000"/>
              <w:left w:val="single" w:sz="6" w:space="0" w:color="000000"/>
              <w:bottom w:val="single" w:sz="4" w:space="0" w:color="000000"/>
              <w:right w:val="single" w:sz="6" w:space="0" w:color="000000"/>
            </w:tcBorders>
            <w:shd w:val="clear" w:color="auto" w:fill="F2F2F2"/>
          </w:tcPr>
          <w:p w:rsidR="0017642B" w:rsidRPr="00B20B6E" w:rsidRDefault="0017642B" w:rsidP="00B20B6E">
            <w:pPr>
              <w:spacing w:line="259" w:lineRule="auto"/>
              <w:ind w:left="68"/>
              <w:rPr>
                <w:sz w:val="22"/>
                <w:szCs w:val="22"/>
              </w:rPr>
            </w:pPr>
            <w:r w:rsidRPr="00B20B6E">
              <w:rPr>
                <w:color w:val="1F497C"/>
                <w:sz w:val="16"/>
                <w:szCs w:val="22"/>
              </w:rPr>
              <w:t xml:space="preserve"> </w:t>
            </w:r>
          </w:p>
        </w:tc>
        <w:tc>
          <w:tcPr>
            <w:tcW w:w="1526" w:type="dxa"/>
            <w:tcBorders>
              <w:top w:val="single" w:sz="4" w:space="0" w:color="000000"/>
              <w:left w:val="single" w:sz="6" w:space="0" w:color="000000"/>
              <w:bottom w:val="single" w:sz="4" w:space="0" w:color="000000"/>
              <w:right w:val="nil"/>
            </w:tcBorders>
            <w:shd w:val="clear" w:color="auto" w:fill="F2F2F2"/>
          </w:tcPr>
          <w:p w:rsidR="0017642B" w:rsidRPr="00B20B6E" w:rsidRDefault="0017642B" w:rsidP="00B20B6E">
            <w:pPr>
              <w:spacing w:line="259" w:lineRule="auto"/>
              <w:ind w:left="71"/>
              <w:rPr>
                <w:sz w:val="22"/>
                <w:szCs w:val="22"/>
              </w:rPr>
            </w:pPr>
            <w:r w:rsidRPr="00B20B6E">
              <w:rPr>
                <w:color w:val="1F497C"/>
                <w:sz w:val="16"/>
                <w:szCs w:val="22"/>
              </w:rPr>
              <w:t xml:space="preserve"> </w:t>
            </w:r>
          </w:p>
        </w:tc>
      </w:tr>
      <w:tr w:rsidR="0017642B" w:rsidTr="00A700D4">
        <w:trPr>
          <w:trHeight w:val="642"/>
        </w:trPr>
        <w:tc>
          <w:tcPr>
            <w:tcW w:w="4654" w:type="dxa"/>
            <w:tcBorders>
              <w:top w:val="single" w:sz="4" w:space="0" w:color="000000"/>
              <w:left w:val="nil"/>
              <w:bottom w:val="single" w:sz="6" w:space="0" w:color="000000"/>
              <w:right w:val="single" w:sz="6" w:space="0" w:color="000000"/>
            </w:tcBorders>
            <w:shd w:val="clear" w:color="auto" w:fill="auto"/>
          </w:tcPr>
          <w:p w:rsidR="0017642B" w:rsidRPr="00B20B6E" w:rsidRDefault="0017642B" w:rsidP="00B20B6E">
            <w:pPr>
              <w:spacing w:line="259" w:lineRule="auto"/>
              <w:ind w:left="70"/>
              <w:rPr>
                <w:sz w:val="22"/>
                <w:szCs w:val="22"/>
              </w:rPr>
            </w:pPr>
            <w:r w:rsidRPr="00B20B6E">
              <w:rPr>
                <w:rFonts w:ascii="Calibri" w:eastAsia="Calibri" w:hAnsi="Calibri" w:cs="Calibri"/>
                <w:i/>
                <w:sz w:val="16"/>
                <w:szCs w:val="22"/>
              </w:rPr>
              <w:t>Explosibles de la division 1.4 déballés ou réemballés, à moins qu'il ne soit démontré que le danger correspond toujours à la division 1.4 (note 10)</w:t>
            </w:r>
          </w:p>
        </w:tc>
        <w:tc>
          <w:tcPr>
            <w:tcW w:w="762" w:type="dxa"/>
            <w:tcBorders>
              <w:top w:val="single" w:sz="4"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rFonts w:ascii="Calibri" w:eastAsia="Calibri" w:hAnsi="Calibri" w:cs="Calibri"/>
                <w:i/>
                <w:sz w:val="16"/>
                <w:szCs w:val="22"/>
              </w:rPr>
              <w:t xml:space="preserve"> </w:t>
            </w:r>
          </w:p>
        </w:tc>
        <w:tc>
          <w:tcPr>
            <w:tcW w:w="764" w:type="dxa"/>
            <w:tcBorders>
              <w:top w:val="single" w:sz="4"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left="34"/>
              <w:jc w:val="center"/>
              <w:rPr>
                <w:sz w:val="22"/>
                <w:szCs w:val="22"/>
              </w:rPr>
            </w:pPr>
            <w:r w:rsidRPr="00B20B6E">
              <w:rPr>
                <w:rFonts w:ascii="Calibri" w:eastAsia="Calibri" w:hAnsi="Calibri" w:cs="Calibri"/>
                <w:i/>
                <w:sz w:val="16"/>
                <w:szCs w:val="22"/>
              </w:rPr>
              <w:t xml:space="preserve"> </w:t>
            </w:r>
          </w:p>
        </w:tc>
        <w:tc>
          <w:tcPr>
            <w:tcW w:w="1524" w:type="dxa"/>
            <w:tcBorders>
              <w:top w:val="single" w:sz="4" w:space="0" w:color="000000"/>
              <w:left w:val="single" w:sz="6" w:space="0" w:color="000000"/>
              <w:bottom w:val="single" w:sz="6" w:space="0" w:color="000000"/>
              <w:right w:val="single" w:sz="6" w:space="0" w:color="000000"/>
            </w:tcBorders>
            <w:shd w:val="clear" w:color="auto" w:fill="F2F2F2"/>
          </w:tcPr>
          <w:p w:rsidR="0017642B" w:rsidRPr="00B20B6E" w:rsidRDefault="0017642B" w:rsidP="00B20B6E">
            <w:pPr>
              <w:spacing w:line="259" w:lineRule="auto"/>
              <w:ind w:left="68"/>
              <w:rPr>
                <w:sz w:val="22"/>
                <w:szCs w:val="22"/>
              </w:rPr>
            </w:pPr>
            <w:r w:rsidRPr="00B20B6E">
              <w:rPr>
                <w:rFonts w:ascii="Calibri" w:eastAsia="Calibri" w:hAnsi="Calibri" w:cs="Calibri"/>
                <w:i/>
                <w:sz w:val="16"/>
                <w:szCs w:val="22"/>
              </w:rPr>
              <w:t xml:space="preserve"> </w:t>
            </w:r>
          </w:p>
        </w:tc>
        <w:tc>
          <w:tcPr>
            <w:tcW w:w="1526" w:type="dxa"/>
            <w:tcBorders>
              <w:top w:val="single" w:sz="4" w:space="0" w:color="000000"/>
              <w:left w:val="single" w:sz="6" w:space="0" w:color="000000"/>
              <w:bottom w:val="single" w:sz="6" w:space="0" w:color="000000"/>
              <w:right w:val="nil"/>
            </w:tcBorders>
            <w:shd w:val="clear" w:color="auto" w:fill="F2F2F2"/>
          </w:tcPr>
          <w:p w:rsidR="0017642B" w:rsidRPr="00B20B6E" w:rsidRDefault="0017642B" w:rsidP="00B20B6E">
            <w:pPr>
              <w:spacing w:line="259" w:lineRule="auto"/>
              <w:ind w:left="71"/>
              <w:rPr>
                <w:sz w:val="22"/>
                <w:szCs w:val="22"/>
              </w:rPr>
            </w:pPr>
            <w:r w:rsidRPr="00B20B6E">
              <w:rPr>
                <w:rFonts w:ascii="Calibri" w:eastAsia="Calibri" w:hAnsi="Calibri" w:cs="Calibri"/>
                <w:i/>
                <w:sz w:val="16"/>
                <w:szCs w:val="22"/>
              </w:rPr>
              <w:t xml:space="preserve"> </w:t>
            </w:r>
          </w:p>
        </w:tc>
      </w:tr>
      <w:tr w:rsidR="0017642B" w:rsidTr="00A700D4">
        <w:trPr>
          <w:trHeight w:val="319"/>
        </w:trPr>
        <w:tc>
          <w:tcPr>
            <w:tcW w:w="4654" w:type="dxa"/>
            <w:tcBorders>
              <w:top w:val="single" w:sz="6" w:space="0" w:color="000000"/>
              <w:left w:val="nil"/>
              <w:bottom w:val="single" w:sz="6" w:space="0" w:color="000000"/>
              <w:right w:val="single" w:sz="6" w:space="0" w:color="000000"/>
            </w:tcBorders>
            <w:shd w:val="clear" w:color="auto" w:fill="F2DBDB"/>
          </w:tcPr>
          <w:p w:rsidR="0017642B" w:rsidRPr="00B20B6E" w:rsidRDefault="0017642B" w:rsidP="00B20B6E">
            <w:pPr>
              <w:spacing w:line="259" w:lineRule="auto"/>
              <w:ind w:left="70"/>
              <w:rPr>
                <w:sz w:val="22"/>
                <w:szCs w:val="22"/>
              </w:rPr>
            </w:pPr>
            <w:r w:rsidRPr="00B20B6E">
              <w:rPr>
                <w:rFonts w:ascii="Calibri" w:eastAsia="Calibri" w:hAnsi="Calibri" w:cs="Calibri"/>
                <w:b/>
                <w:sz w:val="16"/>
                <w:szCs w:val="22"/>
              </w:rPr>
              <w:t>P1b. EXPLOSIBLES</w:t>
            </w:r>
            <w:r w:rsidRPr="00B20B6E">
              <w:rPr>
                <w:rFonts w:ascii="Calibri" w:eastAsia="Calibri" w:hAnsi="Calibri" w:cs="Calibri"/>
                <w:b/>
                <w:sz w:val="16"/>
                <w:szCs w:val="22"/>
                <w:vertAlign w:val="superscript"/>
              </w:rPr>
              <w:t>8</w:t>
            </w:r>
            <w:r w:rsidRPr="00B20B6E">
              <w:rPr>
                <w:rFonts w:ascii="Calibri" w:eastAsia="Calibri" w:hAnsi="Calibri" w:cs="Calibri"/>
                <w:b/>
                <w:sz w:val="16"/>
                <w:szCs w:val="22"/>
              </w:rPr>
              <w:t xml:space="preserve">  </w:t>
            </w:r>
          </w:p>
        </w:tc>
        <w:tc>
          <w:tcPr>
            <w:tcW w:w="762" w:type="dxa"/>
            <w:tcBorders>
              <w:top w:val="single" w:sz="6" w:space="0" w:color="000000"/>
              <w:left w:val="single" w:sz="6" w:space="0" w:color="000000"/>
              <w:bottom w:val="single" w:sz="6" w:space="0" w:color="000000"/>
              <w:right w:val="single" w:sz="6" w:space="0" w:color="000000"/>
            </w:tcBorders>
            <w:shd w:val="clear" w:color="auto" w:fill="F2DBDB"/>
          </w:tcPr>
          <w:p w:rsidR="0017642B" w:rsidRPr="00B20B6E" w:rsidRDefault="0017642B" w:rsidP="00B20B6E">
            <w:pPr>
              <w:spacing w:line="259" w:lineRule="auto"/>
              <w:ind w:right="1"/>
              <w:jc w:val="center"/>
              <w:rPr>
                <w:sz w:val="22"/>
                <w:szCs w:val="22"/>
              </w:rPr>
            </w:pPr>
            <w:r w:rsidRPr="00B20B6E">
              <w:rPr>
                <w:rFonts w:ascii="Calibri" w:eastAsia="Calibri" w:hAnsi="Calibri" w:cs="Calibri"/>
                <w:b/>
                <w:sz w:val="16"/>
                <w:szCs w:val="22"/>
              </w:rPr>
              <w:t xml:space="preserve">50 </w:t>
            </w:r>
          </w:p>
        </w:tc>
        <w:tc>
          <w:tcPr>
            <w:tcW w:w="764" w:type="dxa"/>
            <w:tcBorders>
              <w:top w:val="single" w:sz="6" w:space="0" w:color="000000"/>
              <w:left w:val="single" w:sz="6" w:space="0" w:color="000000"/>
              <w:bottom w:val="single" w:sz="6" w:space="0" w:color="000000"/>
              <w:right w:val="single" w:sz="6" w:space="0" w:color="000000"/>
            </w:tcBorders>
            <w:shd w:val="clear" w:color="auto" w:fill="F2DBDB"/>
          </w:tcPr>
          <w:p w:rsidR="0017642B" w:rsidRPr="00B20B6E" w:rsidRDefault="0017642B" w:rsidP="00B20B6E">
            <w:pPr>
              <w:spacing w:line="259" w:lineRule="auto"/>
              <w:ind w:left="2"/>
              <w:jc w:val="center"/>
              <w:rPr>
                <w:sz w:val="22"/>
                <w:szCs w:val="22"/>
              </w:rPr>
            </w:pPr>
            <w:r w:rsidRPr="00B20B6E">
              <w:rPr>
                <w:rFonts w:ascii="Calibri" w:eastAsia="Calibri" w:hAnsi="Calibri" w:cs="Calibri"/>
                <w:b/>
                <w:sz w:val="16"/>
                <w:szCs w:val="22"/>
              </w:rPr>
              <w:t xml:space="preserve">200 </w:t>
            </w:r>
          </w:p>
        </w:tc>
        <w:tc>
          <w:tcPr>
            <w:tcW w:w="1524" w:type="dxa"/>
            <w:tcBorders>
              <w:top w:val="single" w:sz="6" w:space="0" w:color="000000"/>
              <w:left w:val="single" w:sz="6" w:space="0" w:color="000000"/>
              <w:bottom w:val="single" w:sz="6" w:space="0" w:color="000000"/>
              <w:right w:val="nil"/>
            </w:tcBorders>
            <w:shd w:val="clear" w:color="auto" w:fill="F2DBDB"/>
          </w:tcPr>
          <w:p w:rsidR="0017642B" w:rsidRPr="00B20B6E" w:rsidRDefault="0017642B" w:rsidP="00B20B6E">
            <w:pPr>
              <w:spacing w:line="259" w:lineRule="auto"/>
              <w:ind w:left="68"/>
              <w:rPr>
                <w:sz w:val="22"/>
                <w:szCs w:val="22"/>
              </w:rPr>
            </w:pPr>
            <w:r w:rsidRPr="00B20B6E">
              <w:rPr>
                <w:rFonts w:ascii="Calibri" w:eastAsia="Calibri" w:hAnsi="Calibri" w:cs="Calibri"/>
                <w:b/>
                <w:color w:val="1F497C"/>
                <w:sz w:val="16"/>
                <w:szCs w:val="22"/>
              </w:rPr>
              <w:t xml:space="preserve"> </w:t>
            </w:r>
          </w:p>
        </w:tc>
        <w:tc>
          <w:tcPr>
            <w:tcW w:w="1526" w:type="dxa"/>
            <w:tcBorders>
              <w:top w:val="single" w:sz="6" w:space="0" w:color="000000"/>
              <w:left w:val="nil"/>
              <w:bottom w:val="single" w:sz="6" w:space="0" w:color="000000"/>
              <w:right w:val="nil"/>
            </w:tcBorders>
            <w:shd w:val="clear" w:color="auto" w:fill="F2DBDB"/>
          </w:tcPr>
          <w:p w:rsidR="0017642B" w:rsidRPr="00B20B6E" w:rsidRDefault="0017642B" w:rsidP="00B20B6E">
            <w:pPr>
              <w:spacing w:after="160" w:line="259" w:lineRule="auto"/>
              <w:rPr>
                <w:sz w:val="22"/>
                <w:szCs w:val="22"/>
              </w:rPr>
            </w:pPr>
          </w:p>
        </w:tc>
      </w:tr>
      <w:tr w:rsidR="0017642B" w:rsidTr="00A700D4">
        <w:trPr>
          <w:trHeight w:val="263"/>
        </w:trPr>
        <w:tc>
          <w:tcPr>
            <w:tcW w:w="4654" w:type="dxa"/>
            <w:tcBorders>
              <w:top w:val="single" w:sz="6" w:space="0" w:color="000000"/>
              <w:left w:val="nil"/>
              <w:bottom w:val="single" w:sz="6" w:space="0" w:color="000000"/>
              <w:right w:val="single" w:sz="6" w:space="0" w:color="000000"/>
            </w:tcBorders>
            <w:shd w:val="clear" w:color="auto" w:fill="auto"/>
          </w:tcPr>
          <w:p w:rsidR="0017642B" w:rsidRPr="00B20B6E" w:rsidRDefault="0017642B" w:rsidP="00B20B6E">
            <w:pPr>
              <w:spacing w:line="259" w:lineRule="auto"/>
              <w:ind w:left="70"/>
              <w:rPr>
                <w:sz w:val="22"/>
                <w:szCs w:val="22"/>
              </w:rPr>
            </w:pPr>
            <w:r w:rsidRPr="00B20B6E">
              <w:rPr>
                <w:sz w:val="16"/>
                <w:szCs w:val="22"/>
              </w:rPr>
              <w:t>Explosibles, division 1.4</w:t>
            </w:r>
            <w:r w:rsidRPr="00B20B6E">
              <w:rPr>
                <w:rFonts w:ascii="Calibri" w:eastAsia="Calibri" w:hAnsi="Calibri" w:cs="Calibri"/>
                <w:b/>
                <w:sz w:val="16"/>
                <w:szCs w:val="22"/>
              </w:rPr>
              <w:t xml:space="preserve"> 10</w:t>
            </w:r>
          </w:p>
        </w:tc>
        <w:tc>
          <w:tcPr>
            <w:tcW w:w="762" w:type="dxa"/>
            <w:tcBorders>
              <w:top w:val="single" w:sz="6"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left="35"/>
              <w:jc w:val="center"/>
              <w:rPr>
                <w:sz w:val="22"/>
                <w:szCs w:val="22"/>
              </w:rPr>
            </w:pPr>
            <w:r w:rsidRPr="00B20B6E">
              <w:rPr>
                <w:sz w:val="16"/>
                <w:szCs w:val="22"/>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17642B" w:rsidRPr="00B20B6E" w:rsidRDefault="0017642B" w:rsidP="00B20B6E">
            <w:pPr>
              <w:spacing w:line="259" w:lineRule="auto"/>
              <w:ind w:left="34"/>
              <w:jc w:val="center"/>
              <w:rPr>
                <w:sz w:val="22"/>
                <w:szCs w:val="22"/>
              </w:rPr>
            </w:pPr>
            <w:r w:rsidRPr="00B20B6E">
              <w:rPr>
                <w:sz w:val="16"/>
                <w:szCs w:val="22"/>
              </w:rPr>
              <w:t xml:space="preserve"> </w:t>
            </w:r>
          </w:p>
        </w:tc>
        <w:tc>
          <w:tcPr>
            <w:tcW w:w="1524" w:type="dxa"/>
            <w:tcBorders>
              <w:top w:val="single" w:sz="6" w:space="0" w:color="000000"/>
              <w:left w:val="single" w:sz="6" w:space="0" w:color="000000"/>
              <w:bottom w:val="single" w:sz="6" w:space="0" w:color="000000"/>
              <w:right w:val="single" w:sz="6" w:space="0" w:color="000000"/>
            </w:tcBorders>
            <w:shd w:val="clear" w:color="auto" w:fill="F2F2F2"/>
          </w:tcPr>
          <w:p w:rsidR="0017642B" w:rsidRPr="00B20B6E" w:rsidRDefault="0017642B" w:rsidP="00B20B6E">
            <w:pPr>
              <w:spacing w:line="259" w:lineRule="auto"/>
              <w:ind w:left="68"/>
              <w:rPr>
                <w:sz w:val="22"/>
                <w:szCs w:val="22"/>
              </w:rPr>
            </w:pPr>
            <w:proofErr w:type="spellStart"/>
            <w:r w:rsidRPr="00B20B6E">
              <w:rPr>
                <w:sz w:val="16"/>
                <w:szCs w:val="22"/>
              </w:rPr>
              <w:t>Expl</w:t>
            </w:r>
            <w:proofErr w:type="spellEnd"/>
            <w:r w:rsidRPr="00B20B6E">
              <w:rPr>
                <w:sz w:val="16"/>
                <w:szCs w:val="22"/>
              </w:rPr>
              <w:t xml:space="preserve">. 1.4 </w:t>
            </w:r>
          </w:p>
        </w:tc>
        <w:tc>
          <w:tcPr>
            <w:tcW w:w="1526" w:type="dxa"/>
            <w:tcBorders>
              <w:top w:val="single" w:sz="6" w:space="0" w:color="000000"/>
              <w:left w:val="single" w:sz="6" w:space="0" w:color="000000"/>
              <w:bottom w:val="single" w:sz="6" w:space="0" w:color="000000"/>
              <w:right w:val="nil"/>
            </w:tcBorders>
            <w:shd w:val="clear" w:color="auto" w:fill="F2F2F2"/>
          </w:tcPr>
          <w:p w:rsidR="0017642B" w:rsidRPr="00B20B6E" w:rsidRDefault="0017642B" w:rsidP="00B20B6E">
            <w:pPr>
              <w:spacing w:line="259" w:lineRule="auto"/>
              <w:ind w:left="71"/>
              <w:rPr>
                <w:sz w:val="22"/>
                <w:szCs w:val="22"/>
              </w:rPr>
            </w:pPr>
            <w:r w:rsidRPr="00B20B6E">
              <w:rPr>
                <w:sz w:val="16"/>
                <w:szCs w:val="22"/>
              </w:rPr>
              <w:t xml:space="preserve">H204 </w:t>
            </w:r>
          </w:p>
        </w:tc>
      </w:tr>
    </w:tbl>
    <w:p w:rsidR="0017642B" w:rsidRPr="004C12EB" w:rsidRDefault="0017642B" w:rsidP="0017642B">
      <w:pPr>
        <w:rPr>
          <w:sz w:val="18"/>
          <w:szCs w:val="18"/>
          <w:lang w:val="fr-FR"/>
        </w:rPr>
      </w:pPr>
    </w:p>
    <w:p w:rsidR="0017642B" w:rsidRPr="00A700D4" w:rsidRDefault="0017642B" w:rsidP="0017642B">
      <w:pPr>
        <w:rPr>
          <w:lang w:val="fr-FR"/>
        </w:rPr>
      </w:pPr>
      <w:r w:rsidRPr="00A700D4">
        <w:rPr>
          <w:lang w:val="fr-FR"/>
        </w:rPr>
        <w:t xml:space="preserve">Note 8 : </w:t>
      </w:r>
      <w:proofErr w:type="spellStart"/>
      <w:r w:rsidRPr="00A700D4">
        <w:rPr>
          <w:lang w:val="fr-FR"/>
        </w:rPr>
        <w:t>cfr</w:t>
      </w:r>
      <w:proofErr w:type="spellEnd"/>
      <w:r w:rsidRPr="00A700D4">
        <w:rPr>
          <w:lang w:val="fr-FR"/>
        </w:rPr>
        <w:t xml:space="preserve"> ci-dessus.</w:t>
      </w:r>
    </w:p>
    <w:p w:rsidR="0017642B" w:rsidRPr="00A700D4" w:rsidRDefault="0017642B" w:rsidP="0017642B">
      <w:pPr>
        <w:rPr>
          <w:lang w:val="fr-FR"/>
        </w:rPr>
      </w:pPr>
    </w:p>
    <w:p w:rsidR="0017642B" w:rsidRPr="00A700D4" w:rsidRDefault="00E53E85" w:rsidP="0017642B">
      <w:pPr>
        <w:ind w:left="-15"/>
      </w:pPr>
      <w:r w:rsidRPr="00A700D4">
        <w:rPr>
          <w:lang w:val="fr-FR"/>
        </w:rPr>
        <w:t>Note 9</w:t>
      </w:r>
      <w:r w:rsidR="0017642B" w:rsidRPr="00A700D4">
        <w:rPr>
          <w:lang w:val="fr-FR"/>
        </w:rPr>
        <w:t xml:space="preserve"> </w:t>
      </w:r>
      <w:r w:rsidR="0017642B" w:rsidRPr="00A700D4">
        <w:t>: la réalisation d'essais visant à mettre en évidence les propriétés explosibles des substances et mélanges n'est nécessaire que si la procédure de sélection prévue à l'appendice 6, partie 3, du Manuel d'épreuves et de critères des Nations Unies détermine que la substance ou le mélange est susceptible de présenter des propriétés explosibles.</w:t>
      </w:r>
    </w:p>
    <w:p w:rsidR="0017642B" w:rsidRPr="00A700D4" w:rsidRDefault="0017642B" w:rsidP="0017642B">
      <w:pPr>
        <w:ind w:left="-15"/>
      </w:pPr>
    </w:p>
    <w:p w:rsidR="0017642B" w:rsidRPr="00A700D4" w:rsidRDefault="0017642B" w:rsidP="0017642B">
      <w:pPr>
        <w:ind w:left="-15"/>
      </w:pPr>
      <w:r w:rsidRPr="00A700D4">
        <w:t>Note 10 : Les explosibles de la division 1.4 déballés ou réemballés sont classés dans la catégorie P1a, à moins qu’il ne soit démontré que le danger correspond toujours à la division 1.4 conformément au règlement (CE) n° 1272/2008</w:t>
      </w:r>
    </w:p>
    <w:p w:rsidR="0017642B" w:rsidRDefault="0017642B" w:rsidP="0017642B">
      <w:pPr>
        <w:rPr>
          <w:lang w:val="fr-FR"/>
        </w:rPr>
      </w:pPr>
    </w:p>
    <w:p w:rsidR="0017642B" w:rsidRDefault="0017642B" w:rsidP="0017642B">
      <w:pPr>
        <w:rPr>
          <w:lang w:val="fr-FR"/>
        </w:rPr>
      </w:pPr>
    </w:p>
    <w:p w:rsidR="00381B14" w:rsidRPr="00571359" w:rsidRDefault="00381B14" w:rsidP="00571359">
      <w:pPr>
        <w:rPr>
          <w:lang w:val="fr-FR"/>
        </w:rPr>
      </w:pPr>
    </w:p>
    <w:p w:rsidR="002776A1" w:rsidRDefault="002776A1" w:rsidP="002776A1">
      <w:pPr>
        <w:rPr>
          <w:lang w:val="fr-FR"/>
        </w:rPr>
      </w:pPr>
    </w:p>
    <w:p w:rsidR="004D39E7" w:rsidRDefault="004D39E7" w:rsidP="00DE6253">
      <w:pPr>
        <w:autoSpaceDE w:val="0"/>
        <w:autoSpaceDN w:val="0"/>
        <w:adjustRightInd w:val="0"/>
        <w:rPr>
          <w:lang w:val="fr-FR"/>
        </w:rPr>
      </w:pPr>
    </w:p>
    <w:p w:rsidR="0045766B" w:rsidRDefault="0045766B" w:rsidP="00571359">
      <w:pPr>
        <w:pStyle w:val="Kop2"/>
        <w:numPr>
          <w:ilvl w:val="0"/>
          <w:numId w:val="0"/>
        </w:numPr>
        <w:ind w:left="1143"/>
      </w:pPr>
    </w:p>
    <w:p w:rsidR="0045766B" w:rsidRPr="00047A6B" w:rsidRDefault="0045766B" w:rsidP="0045766B">
      <w:pPr>
        <w:autoSpaceDE w:val="0"/>
        <w:autoSpaceDN w:val="0"/>
        <w:adjustRightInd w:val="0"/>
        <w:rPr>
          <w:b/>
          <w:bCs/>
          <w:szCs w:val="24"/>
          <w:lang w:val="fr-FR" w:eastAsia="fr-FR"/>
        </w:rPr>
      </w:pPr>
      <w:r>
        <w:br w:type="page"/>
      </w:r>
      <w:r>
        <w:pict>
          <v:shape id="_x0000_i1031" type="#_x0000_t75" style="width:450pt;height:180pt">
            <v:imagedata r:id="rId20" o:title="DSCN0364"/>
          </v:shape>
        </w:pict>
      </w:r>
    </w:p>
    <w:p w:rsidR="0024672F" w:rsidRPr="00355D77" w:rsidRDefault="0045766B" w:rsidP="0079568D">
      <w:pPr>
        <w:pStyle w:val="Kop1"/>
      </w:pPr>
      <w:r>
        <w:br/>
      </w:r>
      <w:r w:rsidRPr="00355D77">
        <w:t xml:space="preserve"> </w:t>
      </w:r>
      <w:bookmarkStart w:id="40" w:name="_Toc66895223"/>
      <w:r w:rsidRPr="008F6BB0">
        <w:rPr>
          <w:bCs/>
          <w:i/>
          <w:iCs/>
        </w:rPr>
        <w:t>Mise sur le marché des explosi</w:t>
      </w:r>
      <w:r w:rsidR="004D2D69" w:rsidRPr="008F6BB0">
        <w:rPr>
          <w:bCs/>
          <w:i/>
          <w:iCs/>
        </w:rPr>
        <w:t>f</w:t>
      </w:r>
      <w:r w:rsidRPr="008F6BB0">
        <w:rPr>
          <w:bCs/>
          <w:i/>
          <w:iCs/>
        </w:rPr>
        <w:t>s</w:t>
      </w:r>
      <w:r w:rsidR="00EF1E22" w:rsidRPr="008F6BB0">
        <w:rPr>
          <w:bCs/>
          <w:i/>
          <w:iCs/>
        </w:rPr>
        <w:t xml:space="preserve"> à usage civil et des articles pyrotechniques</w:t>
      </w:r>
      <w:r w:rsidR="00841043" w:rsidRPr="008F6BB0">
        <w:rPr>
          <w:bCs/>
          <w:i/>
          <w:iCs/>
        </w:rPr>
        <w:t xml:space="preserve"> </w:t>
      </w:r>
      <w:r w:rsidR="00841043" w:rsidRPr="00355D77">
        <w:rPr>
          <w:rStyle w:val="Voetnootmarkering"/>
        </w:rPr>
        <w:footnoteReference w:id="6"/>
      </w:r>
      <w:r w:rsidR="00EF1E22" w:rsidRPr="008F6BB0">
        <w:rPr>
          <w:bCs/>
          <w:i/>
          <w:iCs/>
        </w:rPr>
        <w:t xml:space="preserve"> </w:t>
      </w:r>
      <w:r w:rsidR="00EF1E22" w:rsidRPr="00355D77">
        <w:rPr>
          <w:rStyle w:val="Voetnootmarkering"/>
        </w:rPr>
        <w:footnoteReference w:id="7"/>
      </w:r>
      <w:bookmarkEnd w:id="40"/>
    </w:p>
    <w:p w:rsidR="0045766B" w:rsidRPr="00355D77" w:rsidRDefault="0045766B" w:rsidP="006F4961">
      <w:pPr>
        <w:pStyle w:val="Kop2"/>
        <w:numPr>
          <w:ilvl w:val="0"/>
          <w:numId w:val="0"/>
        </w:numPr>
      </w:pPr>
    </w:p>
    <w:p w:rsidR="00BD45CE" w:rsidRPr="00F93613" w:rsidRDefault="0045766B" w:rsidP="00F93613">
      <w:pPr>
        <w:pStyle w:val="Kop2"/>
        <w:numPr>
          <w:ilvl w:val="0"/>
          <w:numId w:val="0"/>
        </w:numPr>
        <w:ind w:left="1143" w:hanging="1143"/>
        <w:rPr>
          <w:sz w:val="30"/>
          <w:szCs w:val="30"/>
        </w:rPr>
      </w:pPr>
      <w:bookmarkStart w:id="41" w:name="_Toc66895224"/>
      <w:r w:rsidRPr="00F93613">
        <w:rPr>
          <w:sz w:val="30"/>
          <w:szCs w:val="30"/>
        </w:rPr>
        <w:t>3.1</w:t>
      </w:r>
      <w:r w:rsidR="008526B7">
        <w:rPr>
          <w:sz w:val="30"/>
          <w:szCs w:val="30"/>
        </w:rPr>
        <w:tab/>
      </w:r>
      <w:r w:rsidR="00272246" w:rsidRPr="00F93613">
        <w:rPr>
          <w:sz w:val="30"/>
          <w:szCs w:val="30"/>
        </w:rPr>
        <w:t>Mise sur le marché des explosifs à usage civil</w:t>
      </w:r>
      <w:bookmarkEnd w:id="41"/>
      <w:r w:rsidR="00272246" w:rsidRPr="00F93613">
        <w:rPr>
          <w:sz w:val="30"/>
          <w:szCs w:val="30"/>
        </w:rPr>
        <w:t xml:space="preserve"> </w:t>
      </w:r>
    </w:p>
    <w:p w:rsidR="00272246" w:rsidRDefault="00272246" w:rsidP="00BD45CE">
      <w:pPr>
        <w:rPr>
          <w:b/>
        </w:rPr>
      </w:pPr>
    </w:p>
    <w:p w:rsidR="00FB5893" w:rsidRDefault="00953A2D" w:rsidP="001203EC">
      <w:r>
        <w:t>La mise sur le marché</w:t>
      </w:r>
      <w:r w:rsidR="00FB5893">
        <w:t xml:space="preserve"> des explosifs à usage civil est régi</w:t>
      </w:r>
      <w:r w:rsidR="0020591E">
        <w:t>e</w:t>
      </w:r>
      <w:r w:rsidR="00FB5893">
        <w:t xml:space="preserve"> par l’arrêté royal du </w:t>
      </w:r>
      <w:r w:rsidR="00FB5893" w:rsidRPr="00FB5893">
        <w:t>12 avril 2016 concernant la mise à disposition sur le marché et le contrôle des explosifs à usage civil</w:t>
      </w:r>
      <w:r w:rsidR="00FB5893">
        <w:t xml:space="preserve">. </w:t>
      </w:r>
    </w:p>
    <w:p w:rsidR="001203EC" w:rsidRDefault="001203EC" w:rsidP="001203EC">
      <w:r>
        <w:t>Les</w:t>
      </w:r>
      <w:r w:rsidRPr="007C0BE5">
        <w:t xml:space="preserve"> explosifs à usage civil</w:t>
      </w:r>
      <w:r>
        <w:t xml:space="preserve"> </w:t>
      </w:r>
      <w:r w:rsidR="00FB5893">
        <w:t xml:space="preserve">y </w:t>
      </w:r>
      <w:r>
        <w:t xml:space="preserve">sont </w:t>
      </w:r>
      <w:r w:rsidR="00FB5893">
        <w:t>définis comme l</w:t>
      </w:r>
      <w:r>
        <w:t>es produits considérés comme explosifs</w:t>
      </w:r>
      <w:r w:rsidRPr="007C0BE5">
        <w:t xml:space="preserve"> par les "Recommandations des Nations Unies relatives au transport des marchandises dangereuses" et figurant dans la classe 1 de ces recommandations, à l'exception de ceux destinés à être utilisés par les forces armées ou la police, des articles pyrotechniques </w:t>
      </w:r>
      <w:r w:rsidRPr="001203EC">
        <w:t xml:space="preserve">relevant du champ d'application de l'arrêté royal du 20 octobre 2015 concernant la mise à disposition sur le marché d'articles pyrotechniques </w:t>
      </w:r>
      <w:r w:rsidRPr="007C0BE5">
        <w:t>et des munitions</w:t>
      </w:r>
      <w:r>
        <w:t xml:space="preserve">. L’annexe 1 </w:t>
      </w:r>
      <w:r w:rsidR="00704824">
        <w:t>de</w:t>
      </w:r>
      <w:r>
        <w:t xml:space="preserve"> l’arrêté royal du 12 avril 2016</w:t>
      </w:r>
      <w:r w:rsidRPr="007C0BE5">
        <w:t xml:space="preserve"> </w:t>
      </w:r>
      <w:r w:rsidR="00FB5893">
        <w:t>précité</w:t>
      </w:r>
      <w:r w:rsidR="00953A2D" w:rsidRPr="00953A2D">
        <w:t xml:space="preserve"> </w:t>
      </w:r>
      <w:r w:rsidR="00953A2D">
        <w:t>c</w:t>
      </w:r>
      <w:r>
        <w:t>ontient</w:t>
      </w:r>
      <w:r w:rsidRPr="001203EC">
        <w:t xml:space="preserve"> une liste non exhaustive des articles pyrote</w:t>
      </w:r>
      <w:r>
        <w:t>chniques et des munitions visés.</w:t>
      </w:r>
      <w:r w:rsidR="00704824">
        <w:t xml:space="preserve"> Cette liste est </w:t>
      </w:r>
      <w:r w:rsidR="003F64F1">
        <w:t xml:space="preserve">directement consultable via le lien suivant: </w:t>
      </w:r>
      <w:hyperlink r:id="rId26" w:history="1">
        <w:r w:rsidR="003F64F1">
          <w:rPr>
            <w:rStyle w:val="Hyperlink"/>
          </w:rPr>
          <w:t>http://www.ejustice.just.fgov.be/cgi_loi/change_lg.pl?language=fr&amp;la=F&amp;cn=2016041205&amp;table_name=loi</w:t>
        </w:r>
      </w:hyperlink>
      <w:r w:rsidR="00704824">
        <w:t>.</w:t>
      </w:r>
      <w:r>
        <w:t xml:space="preserve"> </w:t>
      </w:r>
    </w:p>
    <w:p w:rsidR="00225CC8" w:rsidRPr="00571359" w:rsidRDefault="00225CC8" w:rsidP="00225CC8">
      <w:pPr>
        <w:pStyle w:val="Default"/>
        <w:rPr>
          <w:lang w:val="fr-BE"/>
        </w:rPr>
      </w:pPr>
    </w:p>
    <w:p w:rsidR="00953A2D" w:rsidRDefault="00685440" w:rsidP="00571359">
      <w:r>
        <w:t>L’</w:t>
      </w:r>
      <w:r w:rsidR="00FB5893">
        <w:t xml:space="preserve">arrêté royal </w:t>
      </w:r>
      <w:r>
        <w:t xml:space="preserve">du 12 avril 2016 </w:t>
      </w:r>
      <w:r w:rsidR="00FB5893">
        <w:t>définit les obligations des opérateurs économiques (fabricant, mandataire, distributeur) et les exigences essentielles de sécurité auxquelles les explosifs à usage civil doivent satisfaire avant d’être mis sur le marché européen.</w:t>
      </w:r>
    </w:p>
    <w:p w:rsidR="00685440" w:rsidRDefault="00685440" w:rsidP="00571359"/>
    <w:p w:rsidR="00FB5893" w:rsidRDefault="005873A2" w:rsidP="00240695">
      <w:r w:rsidRPr="005873A2">
        <w:t>Les explosifs conformes à des normes harmonisées ou à des parties de normes harmonisées dont les références ont été publiées au Journal officiel de l'Union européenne sont présumés conformes aux exigences essentielles de sécurité qui sont couvertes par ces normes ou parties de normes et qui sont énoncées à l'annexe 2</w:t>
      </w:r>
      <w:r>
        <w:t>-E</w:t>
      </w:r>
      <w:r w:rsidR="00240695">
        <w:t>x</w:t>
      </w:r>
      <w:r>
        <w:t>igences essentielles de sécurité de l’arrêté royal du 12 avril 2016</w:t>
      </w:r>
      <w:r w:rsidRPr="005873A2">
        <w:t>.</w:t>
      </w:r>
    </w:p>
    <w:p w:rsidR="005873A2" w:rsidRPr="00953A2D" w:rsidRDefault="005873A2" w:rsidP="00571359"/>
    <w:p w:rsidR="00953A2D" w:rsidRDefault="00FB5893" w:rsidP="00571359">
      <w:r>
        <w:t xml:space="preserve">Les explosifs à usage civil conformes aux exigences essentielles de sécurité </w:t>
      </w:r>
      <w:r w:rsidR="00685440">
        <w:t xml:space="preserve">avant d’être mis sur le marché </w:t>
      </w:r>
      <w:r>
        <w:t xml:space="preserve">doivent </w:t>
      </w:r>
      <w:r w:rsidR="003719E9">
        <w:t>être étiquetés.</w:t>
      </w:r>
    </w:p>
    <w:p w:rsidR="003719E9" w:rsidRDefault="003719E9" w:rsidP="00571359"/>
    <w:p w:rsidR="003719E9" w:rsidRDefault="003719E9" w:rsidP="00571359">
      <w:r>
        <w:t>L’étiquetage comprend notamment :</w:t>
      </w:r>
    </w:p>
    <w:p w:rsidR="003719E9" w:rsidRPr="00953A2D" w:rsidRDefault="003719E9" w:rsidP="00571359"/>
    <w:p w:rsidR="00240695" w:rsidRDefault="00240695" w:rsidP="00F93613">
      <w:pPr>
        <w:ind w:left="284" w:hanging="284"/>
      </w:pPr>
      <w:r>
        <w:t xml:space="preserve">1. </w:t>
      </w:r>
      <w:r w:rsidR="00953A2D" w:rsidRPr="00953A2D">
        <w:t>Le marquage CE est apposé de manière visible, lisible et indélébile sur les explosifs. Lorsque cela n'est pas possible ou pas garanti eu égard à la nature de l'explosif, il est apposé sur son emballage et sur les documents d'accompagnement.</w:t>
      </w:r>
    </w:p>
    <w:p w:rsidR="00240695" w:rsidRDefault="00240695" w:rsidP="00F93613">
      <w:pPr>
        <w:ind w:left="284" w:hanging="284"/>
      </w:pPr>
      <w:r>
        <w:t>2.</w:t>
      </w:r>
      <w:r w:rsidR="00F93613">
        <w:t xml:space="preserve"> </w:t>
      </w:r>
      <w:r w:rsidR="00953A2D" w:rsidRPr="00953A2D">
        <w:t>Le marquage CE est suivi du numéro d'identification de l'organisme notifié lorsque celui-ci intervient dans la phase de contrôle de la production.</w:t>
      </w:r>
      <w:r w:rsidR="00DA0983">
        <w:t xml:space="preserve"> </w:t>
      </w:r>
      <w:r w:rsidR="00953A2D" w:rsidRPr="00953A2D">
        <w:t>Le numéro d'identification de l'organisme notifié est apposé par l'organisme lui-même ou, sur instruction de celui-ci, par le fabricant ou son mandataire.</w:t>
      </w:r>
    </w:p>
    <w:p w:rsidR="00953A2D" w:rsidRDefault="00953A2D" w:rsidP="00F93613">
      <w:pPr>
        <w:numPr>
          <w:ilvl w:val="0"/>
          <w:numId w:val="19"/>
        </w:numPr>
        <w:ind w:left="284" w:hanging="284"/>
      </w:pPr>
      <w:r w:rsidRPr="00953A2D">
        <w:t>Le marquage CE et, le cas échéant, le numéro d'identification de l'organisme notifié peuvent être suivis de toute autre marque indiquant un risque ou un usage particulier.</w:t>
      </w:r>
    </w:p>
    <w:p w:rsidR="00240695" w:rsidRPr="00953A2D" w:rsidRDefault="00240695" w:rsidP="00571359"/>
    <w:p w:rsidR="001203EC" w:rsidRPr="00571359" w:rsidRDefault="00953A2D" w:rsidP="006F4961">
      <w:pPr>
        <w:pStyle w:val="Default"/>
        <w:jc w:val="both"/>
        <w:rPr>
          <w:rFonts w:ascii="Verdana" w:hAnsi="Verdana" w:cs="Times New Roman"/>
          <w:color w:val="auto"/>
          <w:sz w:val="20"/>
          <w:szCs w:val="20"/>
          <w:lang w:val="fr-BE" w:eastAsia="en-GB"/>
        </w:rPr>
      </w:pPr>
      <w:r w:rsidRPr="00571359">
        <w:rPr>
          <w:rFonts w:ascii="Verdana" w:hAnsi="Verdana" w:cs="Times New Roman"/>
          <w:color w:val="auto"/>
          <w:sz w:val="20"/>
          <w:szCs w:val="20"/>
          <w:lang w:val="fr-BE" w:eastAsia="en-GB"/>
        </w:rPr>
        <w:t>Dans le cas d'explosifs fabriqués pour usage propre, d'explosifs transportés et livrés hors conditionnement ou en unités mobiles de fabrication d'explosifs (UMFE) pour</w:t>
      </w:r>
      <w:r w:rsidRPr="00953A2D">
        <w:rPr>
          <w:lang w:val="fr-BE"/>
        </w:rPr>
        <w:t xml:space="preserve"> </w:t>
      </w:r>
      <w:r w:rsidRPr="00571359">
        <w:rPr>
          <w:rFonts w:ascii="Verdana" w:hAnsi="Verdana" w:cs="Times New Roman"/>
          <w:color w:val="auto"/>
          <w:sz w:val="20"/>
          <w:szCs w:val="20"/>
          <w:lang w:val="fr-BE" w:eastAsia="en-GB"/>
        </w:rPr>
        <w:t>déchargement direct dans le trou de mine, et d'explosifs fabriqués sur les sites d'utilisation et chargés directement après avoir été fabriqués (production sur site), le marquage CE est apposé sur les documents d'accompagnement.</w:t>
      </w:r>
    </w:p>
    <w:p w:rsidR="001203EC" w:rsidRPr="00571359" w:rsidRDefault="001203EC" w:rsidP="00225CC8">
      <w:pPr>
        <w:pStyle w:val="Default"/>
        <w:rPr>
          <w:lang w:val="fr-BE"/>
        </w:rPr>
      </w:pPr>
    </w:p>
    <w:p w:rsidR="00CC78B7" w:rsidRDefault="00CC78B7" w:rsidP="00BD45CE">
      <w:r w:rsidRPr="00CC78B7">
        <w:t>Les fabricants veillent à ce que les explosifs qu'ils ont mis sur le marché soient accompagnés d'instructions et d'informations de sécurité rédigées dans une langue aisément compréhensible par les utilisateurs fina</w:t>
      </w:r>
      <w:r w:rsidR="001A09FF">
        <w:t>ux</w:t>
      </w:r>
      <w:r w:rsidRPr="00CC78B7">
        <w:t xml:space="preserve">, selon ce qui est déterminé par l'Etat membre concerné. </w:t>
      </w:r>
      <w:r w:rsidR="001A09FF">
        <w:t>Ils s’assurent que c</w:t>
      </w:r>
      <w:r w:rsidRPr="00CC78B7">
        <w:t>es instructions et ces informations de sécurité ainsi que tout étiquetage sont clairs, compréhensibles et intelligibles.</w:t>
      </w:r>
    </w:p>
    <w:p w:rsidR="001A09FF" w:rsidRDefault="001A09FF" w:rsidP="00BD45CE"/>
    <w:p w:rsidR="001A09FF" w:rsidRDefault="001A09FF" w:rsidP="00BD45CE">
      <w:pPr>
        <w:jc w:val="center"/>
        <w:rPr>
          <w:lang w:val="fr-FR"/>
        </w:rPr>
      </w:pPr>
    </w:p>
    <w:p w:rsidR="001A09FF" w:rsidRPr="00C50960" w:rsidRDefault="00F64935" w:rsidP="00C50960">
      <w:pPr>
        <w:ind w:left="567"/>
        <w:rPr>
          <w:b/>
          <w:i/>
          <w:sz w:val="24"/>
          <w:szCs w:val="24"/>
          <w:lang w:val="fr-FR"/>
        </w:rPr>
      </w:pPr>
      <w:r w:rsidRPr="00C50960">
        <w:rPr>
          <w:b/>
          <w:i/>
          <w:sz w:val="24"/>
          <w:szCs w:val="24"/>
          <w:lang w:val="fr-FR"/>
        </w:rPr>
        <w:t xml:space="preserve">3.1.1 </w:t>
      </w:r>
      <w:r w:rsidR="001A09FF" w:rsidRPr="00C50960">
        <w:rPr>
          <w:b/>
          <w:i/>
          <w:sz w:val="24"/>
          <w:szCs w:val="24"/>
          <w:lang w:val="fr-FR"/>
        </w:rPr>
        <w:t>Identification des explosifs à usage civil</w:t>
      </w:r>
    </w:p>
    <w:p w:rsidR="001A09FF" w:rsidRPr="009D7399" w:rsidRDefault="001A09FF" w:rsidP="001A09FF">
      <w:pPr>
        <w:rPr>
          <w:rFonts w:ascii="Times New Roman" w:hAnsi="Times New Roman"/>
          <w:sz w:val="22"/>
          <w:szCs w:val="22"/>
        </w:rPr>
      </w:pPr>
    </w:p>
    <w:p w:rsidR="001A09FF" w:rsidRDefault="001A09FF" w:rsidP="001A09FF">
      <w:r w:rsidRPr="00CC78B7">
        <w:t xml:space="preserve">Afin de faciliter la traçabilité </w:t>
      </w:r>
      <w:r w:rsidR="00F64935">
        <w:t xml:space="preserve">des explosifs </w:t>
      </w:r>
      <w:r w:rsidR="00B44772">
        <w:t xml:space="preserve">à </w:t>
      </w:r>
      <w:r w:rsidR="00F64935">
        <w:t>usage civil</w:t>
      </w:r>
      <w:r w:rsidR="00B44772">
        <w:t>,</w:t>
      </w:r>
      <w:r w:rsidR="00F64935">
        <w:t xml:space="preserve"> l’Arrêté </w:t>
      </w:r>
      <w:r w:rsidRPr="0065621F">
        <w:t xml:space="preserve">Royal du 26 avril 2009 portant mise en œuvre d'un système d'identification et de traçabilité des explosifs à usage civil </w:t>
      </w:r>
      <w:r>
        <w:t>est mis en place.</w:t>
      </w:r>
    </w:p>
    <w:p w:rsidR="001A09FF" w:rsidRPr="007C0BE5" w:rsidRDefault="001A09FF" w:rsidP="001A09FF"/>
    <w:p w:rsidR="001A09FF" w:rsidRPr="007C0BE5" w:rsidRDefault="001A09FF" w:rsidP="001A09FF">
      <w:r w:rsidRPr="007C0BE5">
        <w:t xml:space="preserve">Les entreprises spécialisées dans les explosifs qui fabriquent ou importent des explosifs ou encore assemblent des détonateurs apposent </w:t>
      </w:r>
      <w:r w:rsidRPr="009F6BC5">
        <w:rPr>
          <w:b/>
        </w:rPr>
        <w:t>une identification unique</w:t>
      </w:r>
      <w:r w:rsidRPr="007C0BE5">
        <w:t xml:space="preserve"> sur les explosifs et sur chaque unité élémentaire d'emballage.</w:t>
      </w:r>
    </w:p>
    <w:p w:rsidR="001A09FF" w:rsidRPr="007C0BE5" w:rsidRDefault="001A09FF" w:rsidP="001A09FF">
      <w:r w:rsidRPr="007C0BE5">
        <w:t>Lorsqu'un explosif fait l'objet d'autres processus de fabrication, les fabricants ne sont pas tenus d'apposer une nouvelle identification unique sur l'explosif, à moins que l'identification unique originale n'apparaisse plus conformément à l'article 4</w:t>
      </w:r>
      <w:r>
        <w:t xml:space="preserve"> de l’arrêté précité</w:t>
      </w:r>
      <w:r w:rsidRPr="007C0BE5">
        <w:t>.</w:t>
      </w:r>
    </w:p>
    <w:p w:rsidR="001A09FF" w:rsidRPr="007C0BE5" w:rsidRDefault="001A09FF" w:rsidP="001A09FF"/>
    <w:p w:rsidR="001A09FF" w:rsidRPr="007C0BE5" w:rsidRDefault="001A09FF" w:rsidP="001A09FF">
      <w:r w:rsidRPr="009F6BC5">
        <w:rPr>
          <w:b/>
        </w:rPr>
        <w:t>Le numéro d'identification unique comportera</w:t>
      </w:r>
      <w:r w:rsidR="00CD597B">
        <w:rPr>
          <w:b/>
        </w:rPr>
        <w:t xml:space="preserve"> </w:t>
      </w:r>
      <w:r w:rsidRPr="007C0BE5">
        <w:t>:</w:t>
      </w:r>
    </w:p>
    <w:p w:rsidR="001A09FF" w:rsidRPr="007C0BE5" w:rsidRDefault="001A09FF" w:rsidP="001A09FF"/>
    <w:p w:rsidR="001A09FF" w:rsidRDefault="001A09FF" w:rsidP="001A09FF">
      <w:pPr>
        <w:ind w:left="360" w:hanging="360"/>
      </w:pPr>
      <w:r>
        <w:t>1° une partie lisible à l'</w:t>
      </w:r>
      <w:r w:rsidR="00B44772">
        <w:t>œil</w:t>
      </w:r>
      <w:r>
        <w:t xml:space="preserve"> nu contenant les éléments suivants :</w:t>
      </w:r>
    </w:p>
    <w:p w:rsidR="00F64935" w:rsidRDefault="00F64935" w:rsidP="001A09FF">
      <w:pPr>
        <w:ind w:left="360" w:hanging="360"/>
      </w:pPr>
    </w:p>
    <w:p w:rsidR="001A09FF" w:rsidRDefault="001A09FF" w:rsidP="001A09FF">
      <w:pPr>
        <w:ind w:left="360" w:hanging="360"/>
      </w:pPr>
      <w:r>
        <w:t xml:space="preserve"> a) le nom du fabricant</w:t>
      </w:r>
      <w:r w:rsidR="00CD597B">
        <w:t xml:space="preserve"> </w:t>
      </w:r>
      <w:r>
        <w:t>;</w:t>
      </w:r>
    </w:p>
    <w:p w:rsidR="00F64935" w:rsidRDefault="00F64935" w:rsidP="001A09FF">
      <w:pPr>
        <w:ind w:left="360" w:hanging="360"/>
      </w:pPr>
    </w:p>
    <w:p w:rsidR="001A09FF" w:rsidRDefault="001A09FF" w:rsidP="001A09FF">
      <w:pPr>
        <w:ind w:left="360" w:hanging="360"/>
      </w:pPr>
      <w:r>
        <w:t xml:space="preserve"> b) un code alphanumérique comportant :</w:t>
      </w:r>
    </w:p>
    <w:p w:rsidR="001A09FF" w:rsidRDefault="001A09FF" w:rsidP="001A09FF">
      <w:pPr>
        <w:ind w:left="360" w:hanging="360"/>
      </w:pPr>
      <w:r>
        <w:t xml:space="preserve"> </w:t>
      </w:r>
      <w:r w:rsidR="00F64935">
        <w:tab/>
      </w:r>
      <w:r>
        <w:t xml:space="preserve"> i) les 2 lettres BE si le lieu de production ou d'importation est en Belgique,</w:t>
      </w:r>
    </w:p>
    <w:p w:rsidR="001A09FF" w:rsidRDefault="001A09FF" w:rsidP="001A09FF">
      <w:pPr>
        <w:ind w:left="360" w:hanging="360"/>
      </w:pPr>
      <w:r>
        <w:t xml:space="preserve"> </w:t>
      </w:r>
      <w:r w:rsidR="00F64935">
        <w:tab/>
      </w:r>
      <w:r>
        <w:t xml:space="preserve"> ii) 3 chiffres identifiant le nom du site de production attribué par le Service Réglementation Sécurité du SPF Economie,</w:t>
      </w:r>
    </w:p>
    <w:p w:rsidR="001A09FF" w:rsidRDefault="001A09FF" w:rsidP="001A09FF">
      <w:pPr>
        <w:ind w:left="360" w:hanging="360"/>
      </w:pPr>
      <w:r>
        <w:t xml:space="preserve"> </w:t>
      </w:r>
      <w:r w:rsidR="00F64935">
        <w:tab/>
      </w:r>
      <w:r>
        <w:t xml:space="preserve"> iii) le code produit unique et les informations logistiques conçues par le fabricant</w:t>
      </w:r>
      <w:r w:rsidR="00CD597B">
        <w:t xml:space="preserve"> </w:t>
      </w:r>
      <w:r>
        <w:t>;</w:t>
      </w:r>
    </w:p>
    <w:p w:rsidR="001A09FF" w:rsidRDefault="001A09FF" w:rsidP="001A09FF">
      <w:pPr>
        <w:ind w:left="360" w:hanging="360"/>
      </w:pPr>
      <w:r>
        <w:t xml:space="preserve">  </w:t>
      </w:r>
    </w:p>
    <w:p w:rsidR="001A09FF" w:rsidRDefault="001A09FF" w:rsidP="001A09FF">
      <w:r>
        <w:t>2° un numéro d'identification lisible par voie électronique en code barre et/ou format code matrice se rapportant directement au code d'identification alphanumérique.</w:t>
      </w:r>
    </w:p>
    <w:p w:rsidR="001A09FF" w:rsidRDefault="001A09FF" w:rsidP="001A09FF">
      <w:pPr>
        <w:ind w:left="360" w:hanging="360"/>
      </w:pPr>
      <w:r>
        <w:t xml:space="preserve">  </w:t>
      </w:r>
    </w:p>
    <w:p w:rsidR="001A09FF" w:rsidRDefault="001A09FF" w:rsidP="001A09FF">
      <w:pPr>
        <w:ind w:left="360" w:hanging="360"/>
      </w:pPr>
      <w:r>
        <w:t xml:space="preserve"> 3° Lorsqu'il n'est pas possible d'apposer le code produit unique ou les informations logistiques conçues par le fabricant sur un article parce que celui-ci est trop petit, les données visées aux points 1 b) i), 1 b) ii) et 2° seront jugées suffisantes.</w:t>
      </w:r>
    </w:p>
    <w:p w:rsidR="001A09FF" w:rsidRDefault="001A09FF" w:rsidP="001A09FF">
      <w:pPr>
        <w:ind w:left="360" w:hanging="360"/>
      </w:pPr>
      <w:r>
        <w:t xml:space="preserve">   </w:t>
      </w:r>
      <w:r>
        <w:tab/>
      </w:r>
    </w:p>
    <w:p w:rsidR="001A09FF" w:rsidRDefault="001A09FF" w:rsidP="00571359">
      <w:r>
        <w:t>Pour les articles trop petits pour y apposer les données visées aux 1° b) i), 1° b) ii) et 2° ou sur lesquels il est techniquement impossible, en raison de leur forme ou de leur conception, d'apposer une identification unique, l'identification unique est fixée sur chaque unité d'emballage élémentaire.</w:t>
      </w:r>
    </w:p>
    <w:p w:rsidR="001A09FF" w:rsidRDefault="001A09FF" w:rsidP="00571359">
      <w:r>
        <w:t>Chaque unité d'emballage élémentaire est fermée au moyen d'un sceau.</w:t>
      </w:r>
    </w:p>
    <w:p w:rsidR="001A09FF" w:rsidRDefault="001A09FF" w:rsidP="00571359">
      <w:r>
        <w:t>Chaque détonateur ou charge relais faisant l'objet de</w:t>
      </w:r>
      <w:r w:rsidR="00F64935">
        <w:t xml:space="preserve"> l'exemption prévue au deuxième </w:t>
      </w:r>
      <w:r>
        <w:t>alinéa est marqué durablement, de manière à garantir une bonne lisibilité des données visées aux 1° b) i) et 1° b) ii). Le nombre de détonateurs et de charges relais contenus est imprimé sur l'unité d'emballage élémentaire.</w:t>
      </w:r>
    </w:p>
    <w:p w:rsidR="00F64935" w:rsidRDefault="00F64935" w:rsidP="00571359"/>
    <w:p w:rsidR="001A09FF" w:rsidRPr="007C0BE5" w:rsidRDefault="001A09FF" w:rsidP="00571359">
      <w:r>
        <w:t xml:space="preserve">Chaque cordeau détonant faisant l'objet de l'exemption prévue au deuxième alinéa est pourvu de la marque d'identification unique sur le dévidoir ou la bobine et, le cas échéant, sur l'unité d'emballage élémentaire </w:t>
      </w:r>
    </w:p>
    <w:p w:rsidR="001A09FF" w:rsidRPr="007C0BE5" w:rsidRDefault="001A09FF" w:rsidP="001A09FF"/>
    <w:p w:rsidR="001A09FF" w:rsidRPr="009F6BC5" w:rsidRDefault="00F64935" w:rsidP="001A09FF">
      <w:r>
        <w:t xml:space="preserve">Ce système d’identification et de traçabilité </w:t>
      </w:r>
      <w:r w:rsidR="001A09FF" w:rsidRPr="009F6BC5">
        <w:t>ne s'applique pas :</w:t>
      </w:r>
    </w:p>
    <w:p w:rsidR="00F64935" w:rsidRDefault="00F64935" w:rsidP="001A09FF"/>
    <w:p w:rsidR="001A09FF" w:rsidRPr="009F6BC5" w:rsidRDefault="001A09FF" w:rsidP="001A09FF">
      <w:r w:rsidRPr="009F6BC5">
        <w:t>1° aux explosifs transportés et livrés hors conditionnement ou en camion pompe pour déchargement direct dans le trou de mine</w:t>
      </w:r>
      <w:r w:rsidR="0002169E">
        <w:t xml:space="preserve"> </w:t>
      </w:r>
      <w:r w:rsidRPr="009F6BC5">
        <w:t>;</w:t>
      </w:r>
    </w:p>
    <w:p w:rsidR="00F64935" w:rsidRDefault="00F64935" w:rsidP="001A09FF"/>
    <w:p w:rsidR="001A09FF" w:rsidRDefault="001A09FF" w:rsidP="001A09FF">
      <w:r w:rsidRPr="009F6BC5">
        <w:t>2° aux explosifs qui sont fabriqués sur les sites de mine et chargés directement après avoir été fabriqués ("production sur site")</w:t>
      </w:r>
      <w:r w:rsidR="00852C1B">
        <w:t xml:space="preserve"> </w:t>
      </w:r>
      <w:r w:rsidRPr="009F6BC5">
        <w:t>;</w:t>
      </w:r>
    </w:p>
    <w:p w:rsidR="00F64935" w:rsidRPr="009F6BC5" w:rsidRDefault="00F64935" w:rsidP="001A09FF"/>
    <w:p w:rsidR="001A09FF" w:rsidRPr="009F6BC5" w:rsidRDefault="001A09FF" w:rsidP="001A09FF">
      <w:r w:rsidRPr="009F6BC5">
        <w:t>3° aux munitions</w:t>
      </w:r>
      <w:r w:rsidR="00852C1B">
        <w:t xml:space="preserve"> </w:t>
      </w:r>
      <w:r w:rsidRPr="009F6BC5">
        <w:t>;</w:t>
      </w:r>
    </w:p>
    <w:p w:rsidR="00F64935" w:rsidRDefault="00F64935" w:rsidP="001A09FF"/>
    <w:p w:rsidR="001A09FF" w:rsidRPr="009F6BC5" w:rsidRDefault="001A09FF" w:rsidP="001A09FF">
      <w:r w:rsidRPr="009F6BC5">
        <w:t>4° aux mèches qui sont des dispositifs inflammables, non détonants, de type cordeau</w:t>
      </w:r>
      <w:r w:rsidR="00852C1B">
        <w:t xml:space="preserve"> </w:t>
      </w:r>
      <w:r w:rsidRPr="009F6BC5">
        <w:t>;</w:t>
      </w:r>
    </w:p>
    <w:p w:rsidR="00F64935" w:rsidRDefault="00F64935" w:rsidP="001A09FF"/>
    <w:p w:rsidR="001A09FF" w:rsidRPr="009F6BC5" w:rsidRDefault="001A09FF" w:rsidP="001A09FF">
      <w:r w:rsidRPr="009F6BC5">
        <w:t>5° aux mèches lentes qui sont constituées d'une âme de poudre noire à grains fins entourée d'une enveloppe textile souple, tissée, revêtue d'une ou plusieurs gaines protectrices et qui, lorsqu'elles sont allumées, brûlent à une vitesse prédéterminée sans aucun effet explosif extérieur</w:t>
      </w:r>
      <w:r w:rsidR="00852C1B">
        <w:t xml:space="preserve"> </w:t>
      </w:r>
      <w:r w:rsidRPr="009F6BC5">
        <w:t>;</w:t>
      </w:r>
    </w:p>
    <w:p w:rsidR="00F64935" w:rsidRDefault="00F64935" w:rsidP="001A09FF"/>
    <w:p w:rsidR="001A09FF" w:rsidRPr="009F6BC5" w:rsidRDefault="001A09FF" w:rsidP="001A09FF">
      <w:r w:rsidRPr="009F6BC5">
        <w:t>6° aux amorces à percussion qui sont constituées d'une capsule de métal ou en plastique contenant une petite quantité d'un mélange explosif primaire aisément mis à feu sous l'effet d'un choc et qui servent d'éléments d'allumage pour les cartouches pour armes de petit calibre et dans les allumeurs à percussion pour les charges propulsives.</w:t>
      </w:r>
    </w:p>
    <w:p w:rsidR="001A09FF" w:rsidRPr="00571359" w:rsidRDefault="001A09FF" w:rsidP="00BD45CE">
      <w:pPr>
        <w:jc w:val="center"/>
      </w:pPr>
    </w:p>
    <w:p w:rsidR="00736201" w:rsidRDefault="00736201" w:rsidP="00BD45CE">
      <w:pPr>
        <w:rPr>
          <w:rFonts w:ascii="Times New Roman" w:hAnsi="Times New Roman"/>
          <w:sz w:val="22"/>
          <w:szCs w:val="22"/>
        </w:rPr>
      </w:pPr>
      <w:r>
        <w:rPr>
          <w:rFonts w:ascii="Times New Roman" w:hAnsi="Times New Roman"/>
          <w:sz w:val="22"/>
          <w:szCs w:val="22"/>
        </w:rPr>
        <w:br w:type="page"/>
      </w:r>
    </w:p>
    <w:p w:rsidR="00BD45CE" w:rsidRPr="00C52BCA" w:rsidRDefault="00F64935" w:rsidP="008526B7">
      <w:pPr>
        <w:pStyle w:val="Kop2"/>
        <w:numPr>
          <w:ilvl w:val="0"/>
          <w:numId w:val="0"/>
        </w:numPr>
        <w:ind w:left="709" w:hanging="709"/>
      </w:pPr>
      <w:bookmarkStart w:id="42" w:name="_Toc66895225"/>
      <w:r w:rsidRPr="00F93613">
        <w:rPr>
          <w:sz w:val="30"/>
          <w:szCs w:val="30"/>
        </w:rPr>
        <w:t>3.2</w:t>
      </w:r>
      <w:r w:rsidR="008526B7">
        <w:rPr>
          <w:sz w:val="30"/>
          <w:szCs w:val="30"/>
        </w:rPr>
        <w:tab/>
      </w:r>
      <w:r w:rsidR="006D3E03" w:rsidRPr="00F93613">
        <w:rPr>
          <w:sz w:val="30"/>
          <w:szCs w:val="30"/>
        </w:rPr>
        <w:t>Mise sur le marché</w:t>
      </w:r>
      <w:r w:rsidR="006D3E03">
        <w:rPr>
          <w:szCs w:val="22"/>
        </w:rPr>
        <w:t xml:space="preserve"> des</w:t>
      </w:r>
      <w:r w:rsidR="006D3E03">
        <w:t xml:space="preserve"> </w:t>
      </w:r>
      <w:r w:rsidR="00C52BCA" w:rsidRPr="00C52BCA">
        <w:t>articles pyrotechniques</w:t>
      </w:r>
      <w:bookmarkEnd w:id="42"/>
    </w:p>
    <w:p w:rsidR="00C52BCA" w:rsidRDefault="00C52BCA" w:rsidP="00C52BCA">
      <w:pPr>
        <w:rPr>
          <w:lang w:val="fr-FR"/>
        </w:rPr>
      </w:pPr>
    </w:p>
    <w:p w:rsidR="0020591E" w:rsidRDefault="0020591E" w:rsidP="004B7E87">
      <w:r>
        <w:t xml:space="preserve">La mise sur le marché des articles pyrotechniques est régie par l’arrêté royal du </w:t>
      </w:r>
      <w:r w:rsidRPr="0020591E">
        <w:t xml:space="preserve">20 </w:t>
      </w:r>
      <w:r>
        <w:t>octobre 2015</w:t>
      </w:r>
      <w:r w:rsidRPr="0020591E">
        <w:t xml:space="preserve"> concernant la mise à disposition sur le</w:t>
      </w:r>
      <w:r>
        <w:t xml:space="preserve"> marché d'articles </w:t>
      </w:r>
      <w:r w:rsidRPr="0020591E">
        <w:t>pyrotechniques</w:t>
      </w:r>
      <w:r>
        <w:t>.</w:t>
      </w:r>
    </w:p>
    <w:p w:rsidR="0020591E" w:rsidRDefault="0020591E" w:rsidP="004B7E87"/>
    <w:p w:rsidR="006E053B" w:rsidRDefault="006E053B" w:rsidP="004B7E87">
      <w:r>
        <w:t xml:space="preserve">Un </w:t>
      </w:r>
      <w:r w:rsidRPr="006E053B">
        <w:t xml:space="preserve">article pyrotechnique </w:t>
      </w:r>
      <w:r>
        <w:t xml:space="preserve">est </w:t>
      </w:r>
      <w:r w:rsidRPr="006E053B">
        <w:t>tout article contenant des substances explosives ou un mélange explosif de substances conçues pour produire de la chaleur, de la lumière, des sons, des gaz, de la fumée ou une combinaison de ces effets par une réaction chimique exothermique autoentretenue</w:t>
      </w:r>
      <w:r>
        <w:t xml:space="preserve">. </w:t>
      </w:r>
    </w:p>
    <w:p w:rsidR="006E053B" w:rsidRDefault="006E053B" w:rsidP="004B7E87"/>
    <w:p w:rsidR="006E053B" w:rsidRDefault="006E053B" w:rsidP="006E053B">
      <w:r>
        <w:t>Les articles pyrotechniques sont classés selon les catégories suivantes</w:t>
      </w:r>
      <w:r w:rsidR="00852C1B">
        <w:t xml:space="preserve"> </w:t>
      </w:r>
      <w:r>
        <w:t>:</w:t>
      </w:r>
    </w:p>
    <w:p w:rsidR="006E053B" w:rsidRDefault="006E053B" w:rsidP="006E053B"/>
    <w:p w:rsidR="006E053B" w:rsidRDefault="006E053B" w:rsidP="006E053B">
      <w:r>
        <w:t>1° artifices de divertissement</w:t>
      </w:r>
    </w:p>
    <w:p w:rsidR="00F64935" w:rsidRDefault="00F64935" w:rsidP="006E053B"/>
    <w:p w:rsidR="006E053B" w:rsidRDefault="007E2171" w:rsidP="00571359">
      <w:pPr>
        <w:ind w:left="993" w:hanging="273"/>
      </w:pPr>
      <w:r>
        <w:t>a)</w:t>
      </w:r>
      <w:r w:rsidR="0055786B">
        <w:t xml:space="preserve"> </w:t>
      </w:r>
      <w:r>
        <w:t>Catégorie F1</w:t>
      </w:r>
      <w:r w:rsidR="00852C1B">
        <w:t xml:space="preserve"> </w:t>
      </w:r>
      <w:r w:rsidR="006E053B">
        <w:t>: artifices de divertissement qui présentent un risque très faible et un niveau sonore négligeable et qui sont destinés à être utilisés dans des espaces confinés, y compris les artifices de divertissement destinés à être utilisés à l'intérieur d'immeubles d'habitation</w:t>
      </w:r>
      <w:r w:rsidR="00852C1B">
        <w:t xml:space="preserve"> </w:t>
      </w:r>
      <w:r w:rsidR="006E053B">
        <w:t>;</w:t>
      </w:r>
    </w:p>
    <w:p w:rsidR="00F64935" w:rsidRDefault="00F64935" w:rsidP="006E053B"/>
    <w:p w:rsidR="006E053B" w:rsidRDefault="007E2171" w:rsidP="00571359">
      <w:pPr>
        <w:ind w:left="993" w:hanging="273"/>
      </w:pPr>
      <w:r>
        <w:t>b)</w:t>
      </w:r>
      <w:r w:rsidR="0055786B">
        <w:t xml:space="preserve"> </w:t>
      </w:r>
      <w:r>
        <w:t>Catégorie F2</w:t>
      </w:r>
      <w:r w:rsidR="00852C1B">
        <w:t xml:space="preserve"> </w:t>
      </w:r>
      <w:r w:rsidR="006E053B">
        <w:t>: artifices de divertissement qui présentent un risque faible et un faible niveau sonore et qui sont destinés à être utilisés à l'air libre, dans des zones confinées</w:t>
      </w:r>
      <w:r w:rsidR="00852C1B">
        <w:t xml:space="preserve"> </w:t>
      </w:r>
      <w:r w:rsidR="006E053B">
        <w:t>;</w:t>
      </w:r>
    </w:p>
    <w:p w:rsidR="00F64935" w:rsidRDefault="00F64935" w:rsidP="006E053B"/>
    <w:p w:rsidR="006E053B" w:rsidRDefault="006E053B" w:rsidP="00577EF5">
      <w:pPr>
        <w:ind w:left="993" w:hanging="284"/>
      </w:pPr>
      <w:r>
        <w:t>c</w:t>
      </w:r>
      <w:r w:rsidR="00F64935">
        <w:t xml:space="preserve">) </w:t>
      </w:r>
      <w:r>
        <w:t xml:space="preserve">Catégorie </w:t>
      </w:r>
      <w:r w:rsidR="007E2171">
        <w:t>F</w:t>
      </w:r>
      <w:r>
        <w:t>3</w:t>
      </w:r>
      <w:r w:rsidR="00852C1B">
        <w:t xml:space="preserve"> </w:t>
      </w:r>
      <w:r>
        <w:t>: artifices de divertissement qui présentent un risque moyen, qui sont destinés à être utilisés à l'air libre, dans de grands espaces ouverts et dont le niveau sonore n'est pas dangereux pour la santé humaine</w:t>
      </w:r>
      <w:r w:rsidR="00852C1B">
        <w:t xml:space="preserve"> </w:t>
      </w:r>
      <w:r>
        <w:t>;</w:t>
      </w:r>
    </w:p>
    <w:p w:rsidR="00F64935" w:rsidRDefault="00F64935" w:rsidP="006E053B"/>
    <w:p w:rsidR="006E053B" w:rsidRDefault="006E053B" w:rsidP="00577EF5">
      <w:pPr>
        <w:ind w:left="993" w:hanging="284"/>
      </w:pPr>
      <w:r>
        <w:t>d)</w:t>
      </w:r>
      <w:r w:rsidR="006312E3">
        <w:t xml:space="preserve"> </w:t>
      </w:r>
      <w:r>
        <w:t xml:space="preserve">Catégorie </w:t>
      </w:r>
      <w:r w:rsidR="007E2171">
        <w:t>F</w:t>
      </w:r>
      <w:r>
        <w:t>4</w:t>
      </w:r>
      <w:r w:rsidR="00852C1B">
        <w:t xml:space="preserve"> </w:t>
      </w:r>
      <w:r>
        <w:t>: artifices de divertissement qui présentent un risque élevé et qui sont destinés à être utilisés uniquement par des personnes ayant des connaissances particulières (normalement désignés par l'expression "artifices de divertissement à usage professionnel") et dont le niveau sonore n'est pas dangereux pour la santé humaine</w:t>
      </w:r>
      <w:r w:rsidR="00852C1B">
        <w:t xml:space="preserve"> </w:t>
      </w:r>
      <w:r>
        <w:t>;</w:t>
      </w:r>
    </w:p>
    <w:p w:rsidR="006E053B" w:rsidRDefault="006E053B" w:rsidP="006E053B"/>
    <w:p w:rsidR="006E053B" w:rsidRDefault="006E053B" w:rsidP="006E053B">
      <w:r>
        <w:t>2° articles pyrotechniques destinés au théâtre</w:t>
      </w:r>
    </w:p>
    <w:p w:rsidR="006312E3" w:rsidRDefault="006312E3" w:rsidP="006E053B"/>
    <w:p w:rsidR="006E053B" w:rsidRDefault="006E053B" w:rsidP="00D725A2">
      <w:pPr>
        <w:numPr>
          <w:ilvl w:val="0"/>
          <w:numId w:val="21"/>
        </w:numPr>
      </w:pPr>
      <w:r>
        <w:t>Catégorie T1</w:t>
      </w:r>
      <w:r w:rsidR="00852C1B">
        <w:t xml:space="preserve"> </w:t>
      </w:r>
      <w:r>
        <w:t>: articles pyrotechniques destinés à être utilisés en scène qui présentent un risque faible</w:t>
      </w:r>
      <w:r w:rsidR="00852C1B">
        <w:t xml:space="preserve"> </w:t>
      </w:r>
      <w:r>
        <w:t>;</w:t>
      </w:r>
    </w:p>
    <w:p w:rsidR="006312E3" w:rsidRDefault="006312E3" w:rsidP="006312E3"/>
    <w:p w:rsidR="006E053B" w:rsidRDefault="006E053B" w:rsidP="00D725A2">
      <w:pPr>
        <w:numPr>
          <w:ilvl w:val="0"/>
          <w:numId w:val="21"/>
        </w:numPr>
      </w:pPr>
      <w:r>
        <w:t>Catégorie T2</w:t>
      </w:r>
      <w:r w:rsidR="00852C1B">
        <w:t xml:space="preserve"> </w:t>
      </w:r>
      <w:r>
        <w:t>: articles pyrotechniques destinés à être utilisés en scène, uniquement par des personnes ayant des connaissances particulières</w:t>
      </w:r>
      <w:r w:rsidR="00852C1B">
        <w:t xml:space="preserve"> </w:t>
      </w:r>
      <w:r>
        <w:t>;</w:t>
      </w:r>
    </w:p>
    <w:p w:rsidR="006E053B" w:rsidRDefault="006E053B" w:rsidP="006E053B"/>
    <w:p w:rsidR="006E053B" w:rsidRDefault="006E053B" w:rsidP="006E053B">
      <w:r>
        <w:t>3° autres articles pyrotechniques</w:t>
      </w:r>
    </w:p>
    <w:p w:rsidR="006312E3" w:rsidRDefault="006312E3" w:rsidP="006E053B"/>
    <w:p w:rsidR="006E053B" w:rsidRDefault="006E053B" w:rsidP="00D725A2">
      <w:pPr>
        <w:numPr>
          <w:ilvl w:val="0"/>
          <w:numId w:val="22"/>
        </w:numPr>
      </w:pPr>
      <w:r>
        <w:t>Catégorie P1</w:t>
      </w:r>
      <w:r w:rsidR="00852C1B">
        <w:t xml:space="preserve"> </w:t>
      </w:r>
      <w:r>
        <w:t>: articles pyrotechniques autres que les artifices de divertissement et les articles pyrotechniques destinés au théâtre, qui présentent un risque faible</w:t>
      </w:r>
      <w:r w:rsidR="00852C1B">
        <w:t xml:space="preserve"> </w:t>
      </w:r>
      <w:r>
        <w:t>;</w:t>
      </w:r>
    </w:p>
    <w:p w:rsidR="006E053B" w:rsidRDefault="006E053B" w:rsidP="00D725A2">
      <w:pPr>
        <w:numPr>
          <w:ilvl w:val="0"/>
          <w:numId w:val="22"/>
        </w:numPr>
      </w:pPr>
      <w:r>
        <w:t>Catégorie P2</w:t>
      </w:r>
      <w:r w:rsidR="00852C1B">
        <w:t xml:space="preserve"> </w:t>
      </w:r>
      <w:r>
        <w:t>: articles pyrotechniques autres que les artifices de divertissement et les articles pyrotechniques destinés au théâtre, qui sont destinés à être manipulés ou utilisés uniquement par des personnes ayant des connaissances particulières.</w:t>
      </w:r>
    </w:p>
    <w:p w:rsidR="007E2171" w:rsidRDefault="007E2171" w:rsidP="004B7E87"/>
    <w:p w:rsidR="005C1D20" w:rsidRDefault="005C1D20" w:rsidP="004B7E87"/>
    <w:p w:rsidR="005C1D20" w:rsidRDefault="005C1D20" w:rsidP="004B7E87"/>
    <w:p w:rsidR="005C1D20" w:rsidRDefault="005C1D20" w:rsidP="004B7E87"/>
    <w:p w:rsidR="006E053B" w:rsidRDefault="006E053B" w:rsidP="004B7E87">
      <w:r>
        <w:t xml:space="preserve">L’arrêté </w:t>
      </w:r>
      <w:r w:rsidR="006312E3">
        <w:t xml:space="preserve">royal </w:t>
      </w:r>
      <w:r>
        <w:t>du 20 octobre 2015 ne s’applique pas aux :</w:t>
      </w:r>
    </w:p>
    <w:p w:rsidR="006E053B" w:rsidRDefault="006E053B" w:rsidP="004B7E87"/>
    <w:p w:rsidR="006E053B" w:rsidRDefault="006E053B" w:rsidP="006E053B">
      <w:r>
        <w:t>1° articles pyrotechniques destinés à être utilisés à des fins non commerciales, conformément à la législation nationale, par les forces armées, la police ou les corps de sapeurs-pompiers</w:t>
      </w:r>
      <w:r w:rsidR="00852C1B">
        <w:t xml:space="preserve"> </w:t>
      </w:r>
      <w:r>
        <w:t>;</w:t>
      </w:r>
    </w:p>
    <w:p w:rsidR="006312E3" w:rsidRDefault="006312E3" w:rsidP="006E053B"/>
    <w:p w:rsidR="006E053B" w:rsidRDefault="006E053B" w:rsidP="006E053B">
      <w:r>
        <w:t>2° équipements relevant du champ d'application de l'arrêté royal du 23 décembre 1998 relatif aux équipements marins et modifiant l'arrêté royal du 20 juillet 1973 portant règlement sur l'inspection maritime</w:t>
      </w:r>
      <w:r w:rsidR="00852C1B">
        <w:t xml:space="preserve"> </w:t>
      </w:r>
      <w:r>
        <w:t>;</w:t>
      </w:r>
    </w:p>
    <w:p w:rsidR="006312E3" w:rsidRDefault="006312E3" w:rsidP="006E053B"/>
    <w:p w:rsidR="006E053B" w:rsidRDefault="006E053B" w:rsidP="006E053B">
      <w:r>
        <w:t>3° articles pyrotechniques destinés à être utilisés dans l'industrie aérospatiale</w:t>
      </w:r>
      <w:r w:rsidR="00852C1B">
        <w:t xml:space="preserve"> </w:t>
      </w:r>
      <w:r>
        <w:t>;</w:t>
      </w:r>
    </w:p>
    <w:p w:rsidR="006312E3" w:rsidRDefault="006312E3" w:rsidP="006E053B"/>
    <w:p w:rsidR="006E053B" w:rsidRDefault="006E053B" w:rsidP="006E053B">
      <w:r>
        <w:t>4° amorces à percussion conçues spécialement pour des jouets relevant du champ d'application de l'arrêté royal du 19 janvier 2011 relatif à la sécurité des jouets</w:t>
      </w:r>
      <w:r w:rsidR="00852C1B">
        <w:t xml:space="preserve"> </w:t>
      </w:r>
      <w:r>
        <w:t>;</w:t>
      </w:r>
    </w:p>
    <w:p w:rsidR="006312E3" w:rsidRDefault="006312E3" w:rsidP="006E053B"/>
    <w:p w:rsidR="006E053B" w:rsidRDefault="006E053B" w:rsidP="006E053B">
      <w:r>
        <w:t xml:space="preserve">5° explosifs à usage civil, avec marquage </w:t>
      </w:r>
      <w:r w:rsidR="00852C1B">
        <w:t>« </w:t>
      </w:r>
      <w:r>
        <w:t>CE</w:t>
      </w:r>
      <w:r w:rsidR="00852C1B">
        <w:t xml:space="preserve"> » </w:t>
      </w:r>
      <w:r>
        <w:t>;</w:t>
      </w:r>
    </w:p>
    <w:p w:rsidR="006312E3" w:rsidRDefault="006312E3" w:rsidP="006E053B"/>
    <w:p w:rsidR="006E053B" w:rsidRDefault="006E053B" w:rsidP="006E053B">
      <w:r>
        <w:t>6° aux munitions</w:t>
      </w:r>
      <w:r w:rsidR="00852C1B">
        <w:t xml:space="preserve"> </w:t>
      </w:r>
      <w:r>
        <w:t>;</w:t>
      </w:r>
    </w:p>
    <w:p w:rsidR="006312E3" w:rsidRDefault="006312E3" w:rsidP="006E053B"/>
    <w:p w:rsidR="006E053B" w:rsidRDefault="006E053B" w:rsidP="006E053B">
      <w:r>
        <w:t>7° artifices de divertissement qui sont construits par le fabricant pour son usage personnel, dont l'utilisation a été approuvée, exclusivement sur son territoire, par l'Etat membre dans lequel le fabricant est établi, et qui demeurent sur le territoire de cet Etat membre.</w:t>
      </w:r>
    </w:p>
    <w:p w:rsidR="006E053B" w:rsidRDefault="006E053B" w:rsidP="006E053B"/>
    <w:p w:rsidR="006E053B" w:rsidRDefault="006E053B" w:rsidP="006E053B">
      <w:r>
        <w:t xml:space="preserve">L’arrêté royal du </w:t>
      </w:r>
      <w:r w:rsidR="008B297C">
        <w:t>20 octobre 2015 d</w:t>
      </w:r>
      <w:r>
        <w:t>éfinit les obligations des opérateurs économiques (fabricant, mandataire, distributeur) et les exigences essentielles de sécurité auxquelles les articles pyrotechniques doivent satisfaire avant d’être mis sur le marché européen.</w:t>
      </w:r>
    </w:p>
    <w:p w:rsidR="006E053B" w:rsidRDefault="006E053B" w:rsidP="006E053B"/>
    <w:p w:rsidR="006E053B" w:rsidRDefault="006E053B" w:rsidP="006E053B">
      <w:r>
        <w:t>Les articles pyrotechniques</w:t>
      </w:r>
      <w:r w:rsidRPr="006E053B">
        <w:t xml:space="preserve"> conformes à des normes harmonisées ou à des parties de normes harmonisées sont présumés conformes aux exigences essentielles de sécurité qui sont énoncées à l'annexe 1 et couvertes par ces normes ou parties de normes.</w:t>
      </w:r>
    </w:p>
    <w:p w:rsidR="006E053B" w:rsidRDefault="006E053B" w:rsidP="006E053B"/>
    <w:p w:rsidR="007E2171" w:rsidRDefault="006E053B" w:rsidP="006E053B">
      <w:r>
        <w:t xml:space="preserve">Les </w:t>
      </w:r>
      <w:r w:rsidR="006312E3">
        <w:t>articles pyrotechniques</w:t>
      </w:r>
      <w:r w:rsidR="006312E3" w:rsidRPr="006E053B">
        <w:t xml:space="preserve"> </w:t>
      </w:r>
      <w:r>
        <w:t xml:space="preserve">conformes aux exigences essentielles de sécurité avant d’être mis sur le marché doivent </w:t>
      </w:r>
      <w:r w:rsidR="007E2171">
        <w:t>être étiquetés.</w:t>
      </w:r>
    </w:p>
    <w:p w:rsidR="00ED7DD8" w:rsidRDefault="00ED7DD8" w:rsidP="006E053B"/>
    <w:p w:rsidR="007E2171" w:rsidRDefault="007E2171" w:rsidP="006E053B">
      <w:r>
        <w:t>L’étiquetage comprend</w:t>
      </w:r>
      <w:r w:rsidR="00ED7DD8">
        <w:t xml:space="preserve"> notamment</w:t>
      </w:r>
      <w:r w:rsidR="00852C1B">
        <w:t xml:space="preserve"> </w:t>
      </w:r>
      <w:r>
        <w:t>:</w:t>
      </w:r>
    </w:p>
    <w:p w:rsidR="007E2171" w:rsidRDefault="007E2171" w:rsidP="006E053B"/>
    <w:p w:rsidR="006E053B" w:rsidRDefault="006E053B" w:rsidP="006E053B">
      <w:r>
        <w:t>1. Le marquage CE est apposé de manière visible, lisible et indélébile sur les articles pyrotechniques. Lorsque cela n'est pas possible ou n'est pas garanti eu égard à la nature de l'article pyrotechnique, il est apposé sur son emballage et sur les documents d'accompagnement.</w:t>
      </w:r>
    </w:p>
    <w:p w:rsidR="006312E3" w:rsidRDefault="006312E3" w:rsidP="006E053B"/>
    <w:p w:rsidR="006E053B" w:rsidRDefault="006E053B" w:rsidP="006E053B">
      <w:r>
        <w:t>2. Le marquage CE est suivi du numéro d'identification de l'organisme notifié lorsque celui-ci intervient dans la phase de contrôle de la production.</w:t>
      </w:r>
    </w:p>
    <w:p w:rsidR="006E053B" w:rsidRDefault="006E053B" w:rsidP="006E053B">
      <w:r>
        <w:t>Le numéro d'identification de l'organisme notifié est apposé par l'organisme lui-même ou, sur instruction de celui-ci, par le fabricant.</w:t>
      </w:r>
    </w:p>
    <w:p w:rsidR="006312E3" w:rsidRDefault="006312E3" w:rsidP="006E053B"/>
    <w:p w:rsidR="006E053B" w:rsidRDefault="006E053B" w:rsidP="006E053B">
      <w:r>
        <w:t>3. Le marquage CE et, le cas échéant, le numéro d'identification de l'organisme notifié peuvent être suivis de toute autre marque indiquant un risque ou un usage particulier.</w:t>
      </w:r>
    </w:p>
    <w:p w:rsidR="006E053B" w:rsidRDefault="006E053B" w:rsidP="006E053B"/>
    <w:p w:rsidR="006E053B" w:rsidRDefault="006312E3" w:rsidP="006E053B">
      <w:r>
        <w:t xml:space="preserve">4. </w:t>
      </w:r>
      <w:r w:rsidR="006E053B">
        <w:t>Le</w:t>
      </w:r>
      <w:r w:rsidR="004B7E87" w:rsidRPr="007C0BE5">
        <w:t xml:space="preserve"> nom et l'adresse du fabricant ou, lorsque le fabricant n'est pas établi dans la Communauté, le nom du fabricant et le nom et l'adresse de l'importateur</w:t>
      </w:r>
      <w:r w:rsidR="00852C1B">
        <w:t>.</w:t>
      </w:r>
    </w:p>
    <w:p w:rsidR="006312E3" w:rsidRDefault="006312E3" w:rsidP="006E053B"/>
    <w:p w:rsidR="006E053B" w:rsidRDefault="006E053B" w:rsidP="006E053B">
      <w:r>
        <w:t>5. L</w:t>
      </w:r>
      <w:r w:rsidR="004B7E87" w:rsidRPr="007C0BE5">
        <w:t>a désignation et le type de l'article</w:t>
      </w:r>
      <w:r w:rsidR="004A1D99">
        <w:t>.</w:t>
      </w:r>
    </w:p>
    <w:p w:rsidR="006312E3" w:rsidRDefault="006312E3" w:rsidP="006E053B"/>
    <w:p w:rsidR="006E053B" w:rsidRDefault="006E053B" w:rsidP="006E053B">
      <w:r>
        <w:t>6.</w:t>
      </w:r>
      <w:r w:rsidR="004B7E87" w:rsidRPr="007C0BE5">
        <w:t xml:space="preserve"> </w:t>
      </w:r>
      <w:r>
        <w:t>L</w:t>
      </w:r>
      <w:r w:rsidR="004B7E87" w:rsidRPr="007C0BE5">
        <w:t>es limites d'âge</w:t>
      </w:r>
      <w:r w:rsidR="004A1D99">
        <w:t>.</w:t>
      </w:r>
    </w:p>
    <w:p w:rsidR="006312E3" w:rsidRDefault="006312E3" w:rsidP="006E053B"/>
    <w:p w:rsidR="006E053B" w:rsidRDefault="006E053B" w:rsidP="006E053B">
      <w:r>
        <w:t>7. L</w:t>
      </w:r>
      <w:r w:rsidR="004B7E87" w:rsidRPr="007C0BE5">
        <w:t>a catégorie concernée</w:t>
      </w:r>
      <w:r w:rsidR="004A1D99">
        <w:t>.</w:t>
      </w:r>
    </w:p>
    <w:p w:rsidR="006312E3" w:rsidRDefault="006312E3" w:rsidP="006E053B"/>
    <w:p w:rsidR="006E053B" w:rsidRDefault="006E053B" w:rsidP="006E053B">
      <w:r>
        <w:t>8. L</w:t>
      </w:r>
      <w:r w:rsidR="004B7E87" w:rsidRPr="007C0BE5">
        <w:t xml:space="preserve">es instructions d'utilisation, l'année de production pour les artifices de divertissement des catégories </w:t>
      </w:r>
      <w:r w:rsidR="007E2171">
        <w:t>F</w:t>
      </w:r>
      <w:r w:rsidR="004B7E87" w:rsidRPr="007C0BE5">
        <w:t xml:space="preserve">3 et </w:t>
      </w:r>
      <w:r w:rsidR="007E2171">
        <w:t>F</w:t>
      </w:r>
      <w:r w:rsidR="004B7E87" w:rsidRPr="007C0BE5">
        <w:t>4 et, le cas échéant, une distance de sécurité minimale à observer</w:t>
      </w:r>
      <w:r w:rsidR="00852C1B">
        <w:t>.</w:t>
      </w:r>
    </w:p>
    <w:p w:rsidR="006312E3" w:rsidRDefault="006312E3" w:rsidP="006E053B"/>
    <w:p w:rsidR="003719E9" w:rsidRDefault="006E053B" w:rsidP="006E053B">
      <w:r>
        <w:t>9. La</w:t>
      </w:r>
      <w:r w:rsidR="004B7E87" w:rsidRPr="007C0BE5">
        <w:t xml:space="preserve"> quantité nette de la matière explosive active</w:t>
      </w:r>
      <w:r w:rsidR="00852C1B">
        <w:t>.</w:t>
      </w:r>
    </w:p>
    <w:p w:rsidR="006312E3" w:rsidRDefault="006312E3" w:rsidP="006E053B"/>
    <w:p w:rsidR="00C52BCA" w:rsidRPr="007C0BE5" w:rsidRDefault="003719E9" w:rsidP="006E053B">
      <w:pPr>
        <w:rPr>
          <w:b/>
        </w:rPr>
      </w:pPr>
      <w:r>
        <w:t xml:space="preserve">10 </w:t>
      </w:r>
      <w:r w:rsidRPr="003719E9">
        <w:t>Afin d</w:t>
      </w:r>
      <w:r>
        <w:t>e faciliter la traçabilité des articles pyrotechniques</w:t>
      </w:r>
      <w:r w:rsidRPr="003719E9">
        <w:t>, les fabricants incluent dans l'étiquetage un numéro d'enregistrement attribué par l'organisme notifié qui procède à l'évaluation de la conformité</w:t>
      </w:r>
      <w:r w:rsidR="00852C1B">
        <w:t>.</w:t>
      </w:r>
    </w:p>
    <w:p w:rsidR="00C52BCA" w:rsidRPr="007C0BE5" w:rsidRDefault="00C52BCA" w:rsidP="00C52BCA"/>
    <w:p w:rsidR="00C52BCA" w:rsidRPr="007C0BE5" w:rsidRDefault="00C52BCA" w:rsidP="00C52BCA">
      <w:pPr>
        <w:ind w:left="120"/>
      </w:pPr>
    </w:p>
    <w:p w:rsidR="00C52BCA" w:rsidRPr="007C0BE5" w:rsidRDefault="00C52BCA" w:rsidP="00C52BCA"/>
    <w:p w:rsidR="00C52BCA" w:rsidRPr="00C52BCA" w:rsidRDefault="00C52BCA" w:rsidP="00853129">
      <w:pPr>
        <w:pStyle w:val="Kop2"/>
        <w:numPr>
          <w:ilvl w:val="0"/>
          <w:numId w:val="0"/>
        </w:numPr>
      </w:pPr>
    </w:p>
    <w:p w:rsidR="00E73CFD" w:rsidRDefault="00D03E4A" w:rsidP="00D05B15">
      <w:pPr>
        <w:rPr>
          <w:lang w:val="fr-FR"/>
        </w:rPr>
      </w:pPr>
      <w:r>
        <w:rPr>
          <w:b/>
          <w:noProof/>
          <w:lang w:val="nl-NL" w:eastAsia="nl-NL"/>
        </w:rPr>
        <w:pict>
          <v:rect id="_x0000_s1054" style="position:absolute;left:0;text-align:left;margin-left:-6.4pt;margin-top:-57.55pt;width:485.25pt;height:30pt;z-index:6" stroked="f"/>
        </w:pict>
      </w:r>
      <w:r>
        <w:rPr>
          <w:noProof/>
          <w:lang w:val="nl-NL" w:eastAsia="nl-NL"/>
        </w:rPr>
        <w:pict>
          <v:rect id="_x0000_s1055" style="position:absolute;left:0;text-align:left;margin-left:-20.65pt;margin-top:684.05pt;width:485.25pt;height:30pt;z-index:7" stroked="f"/>
        </w:pict>
      </w:r>
      <w:r w:rsidR="00E874DE">
        <w:rPr>
          <w:lang w:val="fr-FR"/>
        </w:rPr>
        <w:br w:type="page"/>
      </w:r>
    </w:p>
    <w:p w:rsidR="00E73CFD" w:rsidRPr="007B12CF" w:rsidRDefault="00E73CFD" w:rsidP="00E73CFD">
      <w:pPr>
        <w:autoSpaceDE w:val="0"/>
        <w:autoSpaceDN w:val="0"/>
        <w:adjustRightInd w:val="0"/>
        <w:rPr>
          <w:lang w:val="fr-FR"/>
        </w:rPr>
      </w:pPr>
    </w:p>
    <w:p w:rsidR="00E73CFD" w:rsidRDefault="00E73CFD" w:rsidP="00E73CFD">
      <w:pPr>
        <w:rPr>
          <w:lang w:val="fr-FR"/>
        </w:rPr>
      </w:pPr>
      <w:r w:rsidRPr="006D3708">
        <w:rPr>
          <w:noProof/>
          <w:lang w:eastAsia="fr-BE"/>
        </w:rPr>
        <w:pict>
          <v:shape id="_x0000_i1032" type="#_x0000_t75" alt="DSCN0364" style="width:450pt;height:180pt;visibility:visible">
            <v:imagedata r:id="rId20" o:title="DSCN0364"/>
          </v:shape>
        </w:pict>
      </w:r>
    </w:p>
    <w:p w:rsidR="00E73CFD" w:rsidRPr="007B12CF" w:rsidRDefault="00D05B15" w:rsidP="00D05B15">
      <w:pPr>
        <w:pStyle w:val="Kop1"/>
        <w:numPr>
          <w:ilvl w:val="0"/>
          <w:numId w:val="0"/>
        </w:numPr>
        <w:ind w:left="720"/>
        <w:rPr>
          <w:lang w:eastAsia="fr-FR"/>
        </w:rPr>
      </w:pPr>
      <w:bookmarkStart w:id="43" w:name="_Toc66895226"/>
      <w:r w:rsidRPr="00D05B15">
        <w:rPr>
          <w:sz w:val="96"/>
          <w:szCs w:val="96"/>
        </w:rPr>
        <w:t>4</w:t>
      </w:r>
      <w:r w:rsidR="00E73CFD">
        <w:br/>
      </w:r>
      <w:bookmarkStart w:id="44" w:name="_Toc290882389"/>
      <w:r w:rsidR="00E73CFD" w:rsidRPr="007B12CF">
        <w:t>Les merlons</w:t>
      </w:r>
      <w:bookmarkEnd w:id="43"/>
      <w:bookmarkEnd w:id="44"/>
    </w:p>
    <w:p w:rsidR="00E73CFD" w:rsidRDefault="00D05B15" w:rsidP="00D05B15">
      <w:pPr>
        <w:pStyle w:val="Kop2"/>
        <w:numPr>
          <w:ilvl w:val="0"/>
          <w:numId w:val="0"/>
        </w:numPr>
        <w:ind w:left="567"/>
      </w:pPr>
      <w:bookmarkStart w:id="45" w:name="_Toc290882390"/>
      <w:bookmarkStart w:id="46" w:name="_Toc66895227"/>
      <w:r>
        <w:t>4.1</w:t>
      </w:r>
      <w:r w:rsidR="008526B7">
        <w:tab/>
      </w:r>
      <w:r w:rsidR="00E73CFD">
        <w:t>Définition</w:t>
      </w:r>
      <w:bookmarkEnd w:id="45"/>
      <w:bookmarkEnd w:id="46"/>
    </w:p>
    <w:p w:rsidR="00E73CFD" w:rsidRPr="00467FAA" w:rsidRDefault="00E73CFD" w:rsidP="00E73CFD"/>
    <w:p w:rsidR="00E73CFD" w:rsidRDefault="00E73CFD" w:rsidP="00E73CFD">
      <w:r w:rsidRPr="00467FAA">
        <w:t>Le merlon, également appelé parapet, est une élévation naturelle du sol, butte artificielle ou mur capable d'empêcher la transmission directe de la détonation d'une quantité d'explosifs à une autre, bien qu'il puisse lui-même être détruit.</w:t>
      </w:r>
    </w:p>
    <w:p w:rsidR="00E73CFD" w:rsidRDefault="00E73CFD" w:rsidP="00E73CFD"/>
    <w:p w:rsidR="00E73CFD" w:rsidRDefault="00E73CFD" w:rsidP="00E73CFD">
      <w:pPr>
        <w:rPr>
          <w:lang w:val="fr-FR"/>
        </w:rPr>
      </w:pPr>
      <w:r w:rsidRPr="00BD7E81">
        <w:t>Les merlons les plus fréquents sont des monticules de terre, des murs en béton armé ou en maçonnerie, ou une combinaison de ces derniers. Un merlon peut être intégralement détruit lors d'une explosion, mais il devrait être conçu de manière à arrêter ou suffisamment ralentir des projections à haute vitesse avant de s’effondrer ou de se disperser.</w:t>
      </w:r>
    </w:p>
    <w:p w:rsidR="00E73CFD" w:rsidRPr="00467FAA" w:rsidRDefault="00E73CFD" w:rsidP="00E73CFD"/>
    <w:p w:rsidR="00E73CFD" w:rsidRDefault="00D05B15" w:rsidP="00D05B15">
      <w:pPr>
        <w:pStyle w:val="Kop2"/>
        <w:numPr>
          <w:ilvl w:val="0"/>
          <w:numId w:val="0"/>
        </w:numPr>
        <w:ind w:left="709"/>
      </w:pPr>
      <w:bookmarkStart w:id="47" w:name="_Toc290882391"/>
      <w:bookmarkStart w:id="48" w:name="_Toc66895228"/>
      <w:r>
        <w:t>4.2</w:t>
      </w:r>
      <w:r w:rsidR="008526B7">
        <w:tab/>
      </w:r>
      <w:r w:rsidR="00E73CFD">
        <w:t>Fonctions du merlon</w:t>
      </w:r>
      <w:bookmarkEnd w:id="47"/>
      <w:bookmarkEnd w:id="48"/>
    </w:p>
    <w:p w:rsidR="00E73CFD" w:rsidRPr="00467FAA" w:rsidRDefault="00E73CFD" w:rsidP="00E73CFD">
      <w:pPr>
        <w:rPr>
          <w:lang w:val="fr-FR"/>
        </w:rPr>
      </w:pPr>
    </w:p>
    <w:p w:rsidR="00E73CFD" w:rsidRDefault="00E73CFD" w:rsidP="00E222C8">
      <w:pPr>
        <w:numPr>
          <w:ilvl w:val="0"/>
          <w:numId w:val="1"/>
        </w:numPr>
        <w:rPr>
          <w:lang w:val="fr-FR"/>
        </w:rPr>
      </w:pPr>
      <w:r w:rsidRPr="00467FAA">
        <w:rPr>
          <w:lang w:val="fr-FR"/>
        </w:rPr>
        <w:t>Un merlon efficace stoppe les projections à grande vitesse de faible élévation produites par une explosion, qui, sans ce dispositif, pourraient entraîner la propagation directe de l'explosion. Le merlon est donc suffisamment résistant pour</w:t>
      </w:r>
      <w:r>
        <w:rPr>
          <w:lang w:val="fr-FR"/>
        </w:rPr>
        <w:t xml:space="preserve"> réduire la vitesse de ce type de projections à un niveau tolérable. Un merlon ne permet généralement pas d'intercepter les éléments projetés à un angle élevé.</w:t>
      </w:r>
    </w:p>
    <w:p w:rsidR="00E73CFD" w:rsidRPr="00467FAA" w:rsidRDefault="00E73CFD" w:rsidP="00E73CFD">
      <w:pPr>
        <w:rPr>
          <w:lang w:val="fr-FR"/>
        </w:rPr>
      </w:pPr>
    </w:p>
    <w:p w:rsidR="00E73CFD" w:rsidRDefault="00E73CFD" w:rsidP="00E222C8">
      <w:pPr>
        <w:numPr>
          <w:ilvl w:val="0"/>
          <w:numId w:val="1"/>
        </w:numPr>
        <w:rPr>
          <w:lang w:val="fr-FR"/>
        </w:rPr>
      </w:pPr>
      <w:r w:rsidRPr="00467FAA">
        <w:rPr>
          <w:lang w:val="fr-FR"/>
        </w:rPr>
        <w:t xml:space="preserve">Un merlon à face verticale placé à proximité d'un </w:t>
      </w:r>
      <w:r>
        <w:rPr>
          <w:lang w:val="fr-FR"/>
        </w:rPr>
        <w:t>siège potentiel d'explosion</w:t>
      </w:r>
      <w:r w:rsidRPr="00467FAA">
        <w:rPr>
          <w:lang w:val="fr-FR"/>
        </w:rPr>
        <w:t xml:space="preserve"> réduit également les projections d'emballage en feu, de munitions et de débris.</w:t>
      </w:r>
    </w:p>
    <w:p w:rsidR="00E73CFD" w:rsidRPr="00467FAA" w:rsidRDefault="00E73CFD" w:rsidP="00E73CFD">
      <w:pPr>
        <w:rPr>
          <w:lang w:val="fr-FR"/>
        </w:rPr>
      </w:pPr>
    </w:p>
    <w:p w:rsidR="00E73CFD" w:rsidRPr="00490F1C" w:rsidRDefault="00E73CFD" w:rsidP="00E222C8">
      <w:pPr>
        <w:numPr>
          <w:ilvl w:val="0"/>
          <w:numId w:val="1"/>
        </w:numPr>
        <w:rPr>
          <w:lang w:val="fr-FR"/>
        </w:rPr>
      </w:pPr>
      <w:r w:rsidRPr="00467FAA">
        <w:rPr>
          <w:lang w:val="fr-FR"/>
        </w:rPr>
        <w:t xml:space="preserve">Un merlon peut également apporter une protection limitée contre le souffle et les flammes provoqués soit par une explosion externe, soit par une explosion interne, </w:t>
      </w:r>
      <w:r w:rsidRPr="00490F1C">
        <w:rPr>
          <w:lang w:val="fr-FR"/>
        </w:rPr>
        <w:t>lorsque la quantité d'explosifs est relativement faible.</w:t>
      </w:r>
    </w:p>
    <w:p w:rsidR="00E73CFD" w:rsidRPr="00490F1C" w:rsidRDefault="00E73CFD" w:rsidP="00E73CFD">
      <w:pPr>
        <w:rPr>
          <w:lang w:val="fr-FR"/>
        </w:rPr>
      </w:pPr>
    </w:p>
    <w:p w:rsidR="00E73CFD" w:rsidRPr="00490F1C" w:rsidRDefault="00E73CFD" w:rsidP="00E73CFD">
      <w:r w:rsidRPr="00490F1C">
        <w:t>Il convient de noter que, bien que les merlons protègent également le personnel des missiles et des projections rasantes à haute vitesse, et qu’ils constituent un élément de protection aux sites exposés du souffle et des flammes, sa fonction première est de prévenir l'initiation de matières explosives résultant des projections rasantes à haute vitesse, qui présentent la menace prédominante à la survenance d’un tel évènement.</w:t>
      </w:r>
    </w:p>
    <w:p w:rsidR="00E73CFD" w:rsidRPr="00490F1C" w:rsidRDefault="00E73CFD" w:rsidP="00E73CFD">
      <w:pPr>
        <w:rPr>
          <w:lang w:val="fr-FR"/>
        </w:rPr>
      </w:pPr>
    </w:p>
    <w:p w:rsidR="00E73CFD" w:rsidRPr="00490F1C" w:rsidRDefault="00D05B15" w:rsidP="00D05B15">
      <w:pPr>
        <w:pStyle w:val="Kop2"/>
        <w:numPr>
          <w:ilvl w:val="0"/>
          <w:numId w:val="0"/>
        </w:numPr>
        <w:ind w:left="709"/>
      </w:pPr>
      <w:bookmarkStart w:id="49" w:name="_Toc290882392"/>
      <w:bookmarkStart w:id="50" w:name="_Toc66895229"/>
      <w:r w:rsidRPr="00490F1C">
        <w:t>4.3</w:t>
      </w:r>
      <w:r w:rsidR="008526B7">
        <w:tab/>
      </w:r>
      <w:r w:rsidR="00E73CFD" w:rsidRPr="00490F1C">
        <w:t>G</w:t>
      </w:r>
      <w:r w:rsidRPr="00490F1C">
        <w:t>é</w:t>
      </w:r>
      <w:r w:rsidR="00E73CFD" w:rsidRPr="00490F1C">
        <w:t>ométrie des merlons en terre</w:t>
      </w:r>
      <w:bookmarkEnd w:id="49"/>
      <w:bookmarkEnd w:id="50"/>
    </w:p>
    <w:p w:rsidR="00E73CFD" w:rsidRPr="00490F1C" w:rsidRDefault="00E73CFD" w:rsidP="00E73CFD">
      <w:pPr>
        <w:rPr>
          <w:lang w:val="fr-FR"/>
        </w:rPr>
      </w:pPr>
    </w:p>
    <w:p w:rsidR="00E73CFD" w:rsidRPr="00490F1C" w:rsidRDefault="00E73CFD" w:rsidP="00E73CFD">
      <w:pPr>
        <w:rPr>
          <w:lang w:val="fr-FR"/>
        </w:rPr>
      </w:pPr>
    </w:p>
    <w:p w:rsidR="00E73CFD" w:rsidRPr="00490F1C" w:rsidRDefault="00D05B15" w:rsidP="00E73CFD">
      <w:pPr>
        <w:ind w:firstLine="708"/>
        <w:rPr>
          <w:b/>
          <w:i/>
          <w:sz w:val="24"/>
          <w:szCs w:val="24"/>
          <w:lang w:val="fr-FR"/>
        </w:rPr>
      </w:pPr>
      <w:r w:rsidRPr="00490F1C">
        <w:rPr>
          <w:b/>
          <w:i/>
          <w:sz w:val="24"/>
          <w:szCs w:val="24"/>
          <w:lang w:val="fr-FR"/>
        </w:rPr>
        <w:t>4</w:t>
      </w:r>
      <w:r w:rsidR="00E73CFD" w:rsidRPr="00490F1C">
        <w:rPr>
          <w:b/>
          <w:i/>
          <w:sz w:val="24"/>
          <w:szCs w:val="24"/>
          <w:lang w:val="fr-FR"/>
        </w:rPr>
        <w:t xml:space="preserve">.3.1 </w:t>
      </w:r>
      <w:r w:rsidR="00490F1C" w:rsidRPr="00490F1C">
        <w:rPr>
          <w:b/>
          <w:i/>
          <w:sz w:val="24"/>
          <w:szCs w:val="24"/>
          <w:lang w:val="fr-FR"/>
        </w:rPr>
        <w:t>D</w:t>
      </w:r>
      <w:r w:rsidR="00E73CFD" w:rsidRPr="00490F1C">
        <w:rPr>
          <w:b/>
          <w:i/>
          <w:sz w:val="24"/>
          <w:szCs w:val="24"/>
          <w:lang w:val="fr-FR"/>
        </w:rPr>
        <w:t>ouble pente standard</w:t>
      </w:r>
    </w:p>
    <w:p w:rsidR="00E73CFD" w:rsidRPr="00490F1C" w:rsidRDefault="00E73CFD" w:rsidP="00E73CFD">
      <w:pPr>
        <w:ind w:firstLine="708"/>
        <w:rPr>
          <w:b/>
          <w:i/>
          <w:sz w:val="28"/>
          <w:szCs w:val="28"/>
          <w:lang w:val="fr-FR"/>
        </w:rPr>
      </w:pPr>
    </w:p>
    <w:p w:rsidR="00E73CFD" w:rsidRPr="00490F1C" w:rsidRDefault="00E73CFD" w:rsidP="00E73CFD">
      <w:pPr>
        <w:rPr>
          <w:sz w:val="28"/>
          <w:szCs w:val="28"/>
          <w:lang w:val="fr-FR"/>
        </w:rPr>
      </w:pPr>
    </w:p>
    <w:p w:rsidR="00E73CFD" w:rsidRPr="00490F1C" w:rsidRDefault="00E73CFD" w:rsidP="00E73CFD">
      <w:pPr>
        <w:rPr>
          <w:lang w:val="fr-FR"/>
        </w:rPr>
      </w:pPr>
      <w:r w:rsidRPr="00490F1C">
        <w:rPr>
          <w:lang w:val="fr-FR"/>
        </w:rPr>
        <w:t>(Chapitre 2.3.3.2 du Manuel sur les principes de sécurité OTAN applicables au stockage des munitions et des explosifs militaires (AASTP1, Edition B, Version1 décembre 2015))</w:t>
      </w:r>
    </w:p>
    <w:p w:rsidR="00E73CFD" w:rsidRPr="00490F1C" w:rsidRDefault="00E73CFD" w:rsidP="00E73CFD">
      <w:pPr>
        <w:rPr>
          <w:lang w:val="fr-FR"/>
        </w:rPr>
      </w:pPr>
    </w:p>
    <w:p w:rsidR="00E73CFD" w:rsidRPr="00490F1C" w:rsidRDefault="00E73CFD" w:rsidP="00E222C8">
      <w:pPr>
        <w:numPr>
          <w:ilvl w:val="0"/>
          <w:numId w:val="3"/>
        </w:numPr>
        <w:tabs>
          <w:tab w:val="clear" w:pos="720"/>
          <w:tab w:val="num" w:pos="0"/>
          <w:tab w:val="left" w:pos="480"/>
        </w:tabs>
        <w:autoSpaceDE w:val="0"/>
        <w:autoSpaceDN w:val="0"/>
        <w:adjustRightInd w:val="0"/>
        <w:ind w:left="0" w:firstLine="0"/>
        <w:rPr>
          <w:lang w:val="fr-FR"/>
        </w:rPr>
      </w:pPr>
      <w:r w:rsidRPr="00490F1C">
        <w:rPr>
          <w:lang w:val="fr-FR"/>
        </w:rPr>
        <w:t>Généralités</w:t>
      </w:r>
    </w:p>
    <w:p w:rsidR="00E73CFD" w:rsidRPr="00490F1C" w:rsidRDefault="00E73CFD" w:rsidP="00E73CFD">
      <w:pPr>
        <w:tabs>
          <w:tab w:val="num" w:pos="0"/>
        </w:tabs>
        <w:autoSpaceDE w:val="0"/>
        <w:autoSpaceDN w:val="0"/>
        <w:adjustRightInd w:val="0"/>
        <w:rPr>
          <w:lang w:val="fr-FR"/>
        </w:rPr>
      </w:pPr>
    </w:p>
    <w:p w:rsidR="00E73CFD" w:rsidRDefault="00E73CFD" w:rsidP="00E73CFD">
      <w:pPr>
        <w:tabs>
          <w:tab w:val="num" w:pos="480"/>
        </w:tabs>
        <w:autoSpaceDE w:val="0"/>
        <w:autoSpaceDN w:val="0"/>
        <w:adjustRightInd w:val="0"/>
        <w:ind w:left="480"/>
        <w:rPr>
          <w:lang w:val="fr-FR"/>
        </w:rPr>
      </w:pPr>
      <w:r w:rsidRPr="00490F1C">
        <w:rPr>
          <w:lang w:val="fr-FR"/>
        </w:rPr>
        <w:t>Il est nécessaire de concevoir correctement la géométrie des merlons si l’on veut réduire le risque que des projections à grande vitesse ne s’échappent au</w:t>
      </w:r>
      <w:r w:rsidRPr="00CE0CEC">
        <w:rPr>
          <w:lang w:val="fr-FR"/>
        </w:rPr>
        <w:t>-dessus ou au-delà des extrémités du merlon et ne provoquent ainsi une explosion sur un site a</w:t>
      </w:r>
      <w:r>
        <w:rPr>
          <w:lang w:val="fr-FR"/>
        </w:rPr>
        <w:t>djacent. E</w:t>
      </w:r>
      <w:r w:rsidRPr="00CE0CEC">
        <w:rPr>
          <w:lang w:val="fr-FR"/>
        </w:rPr>
        <w:t>tant donné que de telles projections ne se déplacent pas le long de trajectoires parfaitement linéaires, il est impératif que le calcul de la hauteur et de la longueur des merlons inclue des marges raisonnables au-delà des dimensions minimales qui bloquent la ligne de mire.</w:t>
      </w:r>
    </w:p>
    <w:p w:rsidR="00E73CFD" w:rsidRDefault="00E73CFD" w:rsidP="00E73CFD">
      <w:pPr>
        <w:rPr>
          <w:lang w:val="fr-FR"/>
        </w:rPr>
      </w:pPr>
    </w:p>
    <w:p w:rsidR="00E73CFD" w:rsidRPr="00CE0CEC" w:rsidRDefault="00E73CFD" w:rsidP="00E222C8">
      <w:pPr>
        <w:numPr>
          <w:ilvl w:val="0"/>
          <w:numId w:val="3"/>
        </w:numPr>
        <w:tabs>
          <w:tab w:val="clear" w:pos="720"/>
          <w:tab w:val="num" w:pos="0"/>
          <w:tab w:val="left" w:pos="480"/>
        </w:tabs>
        <w:autoSpaceDE w:val="0"/>
        <w:autoSpaceDN w:val="0"/>
        <w:adjustRightInd w:val="0"/>
        <w:ind w:left="0" w:firstLine="0"/>
        <w:rPr>
          <w:lang w:val="fr-FR"/>
        </w:rPr>
      </w:pPr>
      <w:r w:rsidRPr="00CE0CEC">
        <w:rPr>
          <w:lang w:val="fr-FR"/>
        </w:rPr>
        <w:t>Hauteur du merlon</w:t>
      </w:r>
    </w:p>
    <w:p w:rsidR="00E73CFD" w:rsidRPr="00CE0CEC" w:rsidRDefault="00E73CFD" w:rsidP="00E73CFD">
      <w:pPr>
        <w:autoSpaceDE w:val="0"/>
        <w:autoSpaceDN w:val="0"/>
        <w:adjustRightInd w:val="0"/>
        <w:rPr>
          <w:lang w:val="fr-FR"/>
        </w:rPr>
      </w:pPr>
    </w:p>
    <w:p w:rsidR="00E73CFD" w:rsidRDefault="00E73CFD" w:rsidP="00E222C8">
      <w:pPr>
        <w:numPr>
          <w:ilvl w:val="0"/>
          <w:numId w:val="4"/>
        </w:numPr>
        <w:autoSpaceDE w:val="0"/>
        <w:autoSpaceDN w:val="0"/>
        <w:adjustRightInd w:val="0"/>
        <w:ind w:hanging="240"/>
        <w:rPr>
          <w:lang w:val="fr-FR"/>
        </w:rPr>
      </w:pPr>
      <w:r w:rsidRPr="00CE0CEC">
        <w:rPr>
          <w:lang w:val="fr-FR"/>
        </w:rPr>
        <w:t>Segment [AB]</w:t>
      </w:r>
    </w:p>
    <w:p w:rsidR="00E73CFD" w:rsidRPr="00CE0CEC" w:rsidRDefault="00E73CFD" w:rsidP="00E73CFD">
      <w:pPr>
        <w:autoSpaceDE w:val="0"/>
        <w:autoSpaceDN w:val="0"/>
        <w:adjustRightInd w:val="0"/>
        <w:ind w:left="360"/>
        <w:rPr>
          <w:lang w:val="fr-FR"/>
        </w:rPr>
      </w:pPr>
    </w:p>
    <w:p w:rsidR="00E73CFD" w:rsidRDefault="00E73CFD" w:rsidP="00E222C8">
      <w:pPr>
        <w:numPr>
          <w:ilvl w:val="1"/>
          <w:numId w:val="1"/>
        </w:numPr>
        <w:tabs>
          <w:tab w:val="clear" w:pos="1455"/>
          <w:tab w:val="num" w:pos="1080"/>
        </w:tabs>
        <w:autoSpaceDE w:val="0"/>
        <w:autoSpaceDN w:val="0"/>
        <w:adjustRightInd w:val="0"/>
        <w:ind w:left="1080"/>
        <w:rPr>
          <w:lang w:val="fr-FR"/>
        </w:rPr>
      </w:pPr>
      <w:r w:rsidRPr="00CE0CEC">
        <w:rPr>
          <w:lang w:val="fr-FR"/>
        </w:rPr>
        <w:t>Sur un terrain plat, le point A est choisi comme référence au niveau de</w:t>
      </w:r>
      <w:r>
        <w:rPr>
          <w:lang w:val="fr-FR"/>
        </w:rPr>
        <w:t xml:space="preserve"> </w:t>
      </w:r>
      <w:r w:rsidRPr="00CE0CEC">
        <w:rPr>
          <w:lang w:val="fr-FR"/>
        </w:rPr>
        <w:t xml:space="preserve">l’une des deux piles (voir figure </w:t>
      </w:r>
      <w:r>
        <w:rPr>
          <w:lang w:val="fr-FR"/>
        </w:rPr>
        <w:t>1</w:t>
      </w:r>
      <w:r w:rsidRPr="00CE0CEC">
        <w:rPr>
          <w:lang w:val="fr-FR"/>
        </w:rPr>
        <w:t>-I). Si les piles sont de hauteur</w:t>
      </w:r>
      <w:r>
        <w:rPr>
          <w:lang w:val="fr-FR"/>
        </w:rPr>
        <w:t xml:space="preserve"> </w:t>
      </w:r>
      <w:r w:rsidRPr="00CE0CEC">
        <w:rPr>
          <w:lang w:val="fr-FR"/>
        </w:rPr>
        <w:t>différente, le point A est pris au niveau de la pile la moins haute. Le</w:t>
      </w:r>
      <w:r>
        <w:rPr>
          <w:lang w:val="fr-FR"/>
        </w:rPr>
        <w:t xml:space="preserve"> </w:t>
      </w:r>
      <w:r w:rsidRPr="00CE0CEC">
        <w:rPr>
          <w:lang w:val="fr-FR"/>
        </w:rPr>
        <w:t>point A se trouve au sommet de la face de la pile qui est la plus</w:t>
      </w:r>
      <w:r>
        <w:rPr>
          <w:lang w:val="fr-FR"/>
        </w:rPr>
        <w:t xml:space="preserve"> </w:t>
      </w:r>
      <w:r w:rsidRPr="00CE0CEC">
        <w:rPr>
          <w:lang w:val="fr-FR"/>
        </w:rPr>
        <w:t>éloignée de l’autre pile. Si les piles sont dotées d’une toiture de</w:t>
      </w:r>
      <w:r>
        <w:rPr>
          <w:lang w:val="fr-FR"/>
        </w:rPr>
        <w:t xml:space="preserve"> </w:t>
      </w:r>
      <w:r w:rsidRPr="00CE0CEC">
        <w:rPr>
          <w:lang w:val="fr-FR"/>
        </w:rPr>
        <w:t>protection, le point A peut se trouver au sommet de la face la plus</w:t>
      </w:r>
      <w:r>
        <w:rPr>
          <w:lang w:val="fr-FR"/>
        </w:rPr>
        <w:t xml:space="preserve"> </w:t>
      </w:r>
      <w:r w:rsidRPr="00CE0CEC">
        <w:rPr>
          <w:lang w:val="fr-FR"/>
        </w:rPr>
        <w:t xml:space="preserve">proche de l’autre pile (voir figure </w:t>
      </w:r>
      <w:r>
        <w:rPr>
          <w:lang w:val="fr-FR"/>
        </w:rPr>
        <w:t>1.3.1</w:t>
      </w:r>
      <w:r w:rsidRPr="00CE0CEC">
        <w:rPr>
          <w:lang w:val="fr-FR"/>
        </w:rPr>
        <w:t>-I).</w:t>
      </w:r>
    </w:p>
    <w:p w:rsidR="00E73CFD" w:rsidRPr="00CE0CEC" w:rsidRDefault="00E73CFD" w:rsidP="00E73CFD">
      <w:pPr>
        <w:tabs>
          <w:tab w:val="num" w:pos="1080"/>
        </w:tabs>
        <w:autoSpaceDE w:val="0"/>
        <w:autoSpaceDN w:val="0"/>
        <w:adjustRightInd w:val="0"/>
        <w:ind w:left="1080"/>
        <w:rPr>
          <w:lang w:val="fr-FR"/>
        </w:rPr>
      </w:pPr>
    </w:p>
    <w:p w:rsidR="00E73CFD" w:rsidRDefault="00E73CFD" w:rsidP="00E222C8">
      <w:pPr>
        <w:numPr>
          <w:ilvl w:val="1"/>
          <w:numId w:val="1"/>
        </w:numPr>
        <w:tabs>
          <w:tab w:val="clear" w:pos="1455"/>
          <w:tab w:val="num" w:pos="1080"/>
        </w:tabs>
        <w:autoSpaceDE w:val="0"/>
        <w:autoSpaceDN w:val="0"/>
        <w:adjustRightInd w:val="0"/>
        <w:ind w:left="1080"/>
        <w:rPr>
          <w:lang w:val="fr-FR"/>
        </w:rPr>
      </w:pPr>
      <w:r w:rsidRPr="00CE0CEC">
        <w:rPr>
          <w:lang w:val="fr-FR"/>
        </w:rPr>
        <w:t>Si le terrain est incliné, le point A est choisi sur la pile dont la face la</w:t>
      </w:r>
      <w:r>
        <w:rPr>
          <w:lang w:val="fr-FR"/>
        </w:rPr>
        <w:t xml:space="preserve"> </w:t>
      </w:r>
      <w:r w:rsidRPr="00CE0CEC">
        <w:rPr>
          <w:lang w:val="fr-FR"/>
        </w:rPr>
        <w:t xml:space="preserve">plus haute est située à l’élévation la plus faible (voir figure </w:t>
      </w:r>
      <w:r>
        <w:rPr>
          <w:lang w:val="fr-FR"/>
        </w:rPr>
        <w:t>1.3.1</w:t>
      </w:r>
      <w:r w:rsidRPr="00CE0CEC">
        <w:rPr>
          <w:lang w:val="fr-FR"/>
        </w:rPr>
        <w:t>-II). Le</w:t>
      </w:r>
      <w:r>
        <w:rPr>
          <w:lang w:val="fr-FR"/>
        </w:rPr>
        <w:t xml:space="preserve"> </w:t>
      </w:r>
      <w:r w:rsidRPr="00CE0CEC">
        <w:rPr>
          <w:lang w:val="fr-FR"/>
        </w:rPr>
        <w:t>point A se trouve au sommet de la face de la pile choisie qui est la plus</w:t>
      </w:r>
      <w:r>
        <w:rPr>
          <w:lang w:val="fr-FR"/>
        </w:rPr>
        <w:t xml:space="preserve"> </w:t>
      </w:r>
      <w:r w:rsidRPr="00CE0CEC">
        <w:rPr>
          <w:lang w:val="fr-FR"/>
        </w:rPr>
        <w:t>éloignée de l’autre pile. Si les piles sont dotées d’une toiture de</w:t>
      </w:r>
      <w:r>
        <w:rPr>
          <w:lang w:val="fr-FR"/>
        </w:rPr>
        <w:t xml:space="preserve"> </w:t>
      </w:r>
      <w:r w:rsidRPr="00CE0CEC">
        <w:rPr>
          <w:lang w:val="fr-FR"/>
        </w:rPr>
        <w:t>protection, le point A peut se trouver au sommet de la face la plus</w:t>
      </w:r>
      <w:r>
        <w:rPr>
          <w:lang w:val="fr-FR"/>
        </w:rPr>
        <w:t xml:space="preserve"> </w:t>
      </w:r>
      <w:r w:rsidRPr="00CE0CEC">
        <w:rPr>
          <w:lang w:val="fr-FR"/>
        </w:rPr>
        <w:t>proche de l’autre pile. Le point B se trouve au somment de la face</w:t>
      </w:r>
      <w:r>
        <w:rPr>
          <w:lang w:val="fr-FR"/>
        </w:rPr>
        <w:t xml:space="preserve"> </w:t>
      </w:r>
      <w:r w:rsidRPr="00CE0CEC">
        <w:rPr>
          <w:lang w:val="fr-FR"/>
        </w:rPr>
        <w:t xml:space="preserve">avant de l’autre pile (voir figure </w:t>
      </w:r>
      <w:r>
        <w:rPr>
          <w:lang w:val="fr-FR"/>
        </w:rPr>
        <w:t>1.3.1</w:t>
      </w:r>
      <w:r w:rsidRPr="00CE0CEC">
        <w:rPr>
          <w:lang w:val="fr-FR"/>
        </w:rPr>
        <w:t>-II).</w:t>
      </w:r>
    </w:p>
    <w:p w:rsidR="00E73CFD" w:rsidRPr="00CE0CEC" w:rsidRDefault="00E73CFD" w:rsidP="00E73CFD">
      <w:pPr>
        <w:tabs>
          <w:tab w:val="num" w:pos="1080"/>
        </w:tabs>
        <w:autoSpaceDE w:val="0"/>
        <w:autoSpaceDN w:val="0"/>
        <w:adjustRightInd w:val="0"/>
        <w:ind w:left="1080"/>
        <w:rPr>
          <w:lang w:val="fr-FR"/>
        </w:rPr>
      </w:pPr>
    </w:p>
    <w:p w:rsidR="00E73CFD" w:rsidRDefault="00E73CFD" w:rsidP="00E222C8">
      <w:pPr>
        <w:numPr>
          <w:ilvl w:val="1"/>
          <w:numId w:val="1"/>
        </w:numPr>
        <w:tabs>
          <w:tab w:val="clear" w:pos="1455"/>
          <w:tab w:val="num" w:pos="1080"/>
        </w:tabs>
        <w:autoSpaceDE w:val="0"/>
        <w:autoSpaceDN w:val="0"/>
        <w:adjustRightInd w:val="0"/>
        <w:ind w:left="1080"/>
        <w:rPr>
          <w:lang w:val="fr-FR"/>
        </w:rPr>
      </w:pPr>
      <w:r w:rsidRPr="00CE0CEC">
        <w:rPr>
          <w:lang w:val="fr-FR"/>
        </w:rPr>
        <w:t xml:space="preserve">Le segment [AB] doit impérativement traverser au moins </w:t>
      </w:r>
      <w:smartTag w:uri="urn:schemas-microsoft-com:office:smarttags" w:element="metricconverter">
        <w:smartTagPr>
          <w:attr w:name="ProductID" w:val="2.4 m"/>
        </w:smartTagPr>
        <w:r w:rsidRPr="00CE0CEC">
          <w:rPr>
            <w:lang w:val="fr-FR"/>
          </w:rPr>
          <w:t>2.4 m</w:t>
        </w:r>
      </w:smartTag>
      <w:r>
        <w:rPr>
          <w:lang w:val="fr-FR"/>
        </w:rPr>
        <w:t xml:space="preserve"> </w:t>
      </w:r>
      <w:r w:rsidRPr="00CE0CEC">
        <w:rPr>
          <w:lang w:val="fr-FR"/>
        </w:rPr>
        <w:t>d’épaisseur de merlon ou de terre naturelle non déplacée entre les</w:t>
      </w:r>
      <w:r>
        <w:rPr>
          <w:lang w:val="fr-FR"/>
        </w:rPr>
        <w:t xml:space="preserve"> </w:t>
      </w:r>
      <w:r w:rsidRPr="00CE0CEC">
        <w:rPr>
          <w:lang w:val="fr-FR"/>
        </w:rPr>
        <w:t>deux piles, que ces piles soient ou non contiguës.</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4"/>
        </w:numPr>
        <w:autoSpaceDE w:val="0"/>
        <w:autoSpaceDN w:val="0"/>
        <w:adjustRightInd w:val="0"/>
        <w:ind w:hanging="240"/>
        <w:rPr>
          <w:lang w:val="fr-FR"/>
        </w:rPr>
      </w:pPr>
      <w:r w:rsidRPr="00CE0CEC">
        <w:rPr>
          <w:lang w:val="fr-FR"/>
        </w:rPr>
        <w:t>Segment [AC] (règle des 2 degrés)</w:t>
      </w:r>
    </w:p>
    <w:p w:rsidR="00E73CFD" w:rsidRPr="00CE0CEC" w:rsidRDefault="00E73CFD" w:rsidP="00E73CFD">
      <w:pPr>
        <w:autoSpaceDE w:val="0"/>
        <w:autoSpaceDN w:val="0"/>
        <w:adjustRightInd w:val="0"/>
        <w:ind w:left="360"/>
        <w:rPr>
          <w:lang w:val="fr-FR"/>
        </w:rPr>
      </w:pPr>
    </w:p>
    <w:p w:rsidR="00E73CFD" w:rsidRDefault="00E73CFD" w:rsidP="00E222C8">
      <w:pPr>
        <w:numPr>
          <w:ilvl w:val="0"/>
          <w:numId w:val="2"/>
        </w:numPr>
        <w:autoSpaceDE w:val="0"/>
        <w:autoSpaceDN w:val="0"/>
        <w:adjustRightInd w:val="0"/>
        <w:rPr>
          <w:lang w:val="fr-FR"/>
        </w:rPr>
      </w:pPr>
      <w:r w:rsidRPr="00CE0CEC">
        <w:rPr>
          <w:lang w:val="fr-FR"/>
        </w:rPr>
        <w:t>Le point A est choisi conformément aux instructions de l’alinéa 1)</w:t>
      </w:r>
      <w:r>
        <w:rPr>
          <w:lang w:val="fr-FR"/>
        </w:rPr>
        <w:t xml:space="preserve"> </w:t>
      </w:r>
      <w:r w:rsidRPr="00CE0CEC">
        <w:rPr>
          <w:lang w:val="fr-FR"/>
        </w:rPr>
        <w:t>ci-dessus.</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2"/>
        </w:numPr>
        <w:autoSpaceDE w:val="0"/>
        <w:autoSpaceDN w:val="0"/>
        <w:adjustRightInd w:val="0"/>
        <w:rPr>
          <w:lang w:val="fr-FR"/>
        </w:rPr>
      </w:pPr>
      <w:r w:rsidRPr="00CE0CEC">
        <w:rPr>
          <w:lang w:val="fr-FR"/>
        </w:rPr>
        <w:t>Sur un terrain plat ou en pente, un second segment [AC] est tracé à un</w:t>
      </w:r>
      <w:r>
        <w:rPr>
          <w:lang w:val="fr-FR"/>
        </w:rPr>
        <w:t xml:space="preserve"> </w:t>
      </w:r>
      <w:r w:rsidRPr="00CE0CEC">
        <w:rPr>
          <w:lang w:val="fr-FR"/>
        </w:rPr>
        <w:t>angle de 2° au-dessus du segment [AB].</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2"/>
        </w:numPr>
        <w:autoSpaceDE w:val="0"/>
        <w:autoSpaceDN w:val="0"/>
        <w:adjustRightInd w:val="0"/>
        <w:rPr>
          <w:lang w:val="fr-FR"/>
        </w:rPr>
      </w:pPr>
      <w:r w:rsidRPr="00CE0CEC">
        <w:rPr>
          <w:lang w:val="fr-FR"/>
        </w:rPr>
        <w:t>Sur un terrain plat, lorsque les piles sont séparées de moins de 5 Q</w:t>
      </w:r>
      <w:r w:rsidRPr="00303A4D">
        <w:rPr>
          <w:vertAlign w:val="superscript"/>
          <w:lang w:val="fr-FR"/>
        </w:rPr>
        <w:t>1/3</w:t>
      </w:r>
      <w:r w:rsidRPr="00CE0CEC">
        <w:rPr>
          <w:lang w:val="fr-FR"/>
        </w:rPr>
        <w:t>,</w:t>
      </w:r>
      <w:r>
        <w:rPr>
          <w:lang w:val="fr-FR"/>
        </w:rPr>
        <w:t xml:space="preserve"> </w:t>
      </w:r>
      <w:r w:rsidRPr="00CE0CEC">
        <w:rPr>
          <w:lang w:val="fr-FR"/>
        </w:rPr>
        <w:t>qu’elles soient ou non contiguës, le segment [AC] doit</w:t>
      </w:r>
      <w:r>
        <w:rPr>
          <w:lang w:val="fr-FR"/>
        </w:rPr>
        <w:t xml:space="preserve"> </w:t>
      </w:r>
      <w:r w:rsidRPr="00CE0CEC">
        <w:rPr>
          <w:lang w:val="fr-FR"/>
        </w:rPr>
        <w:t xml:space="preserve">impérativement traverser au moins </w:t>
      </w:r>
      <w:smartTag w:uri="urn:schemas-microsoft-com:office:smarttags" w:element="metricconverter">
        <w:smartTagPr>
          <w:attr w:name="ProductID" w:val="1.0 m"/>
        </w:smartTagPr>
        <w:r w:rsidRPr="00CE0CEC">
          <w:rPr>
            <w:lang w:val="fr-FR"/>
          </w:rPr>
          <w:t>1.0 m</w:t>
        </w:r>
      </w:smartTag>
      <w:r w:rsidRPr="00CE0CEC">
        <w:rPr>
          <w:lang w:val="fr-FR"/>
        </w:rPr>
        <w:t xml:space="preserve"> d’épaisseur de merlon ou de</w:t>
      </w:r>
      <w:r>
        <w:rPr>
          <w:lang w:val="fr-FR"/>
        </w:rPr>
        <w:t xml:space="preserve"> </w:t>
      </w:r>
      <w:r w:rsidRPr="00CE0CEC">
        <w:rPr>
          <w:lang w:val="fr-FR"/>
        </w:rPr>
        <w:t>terre naturelle non déplacée.</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2"/>
        </w:numPr>
        <w:autoSpaceDE w:val="0"/>
        <w:autoSpaceDN w:val="0"/>
        <w:adjustRightInd w:val="0"/>
        <w:rPr>
          <w:lang w:val="fr-FR"/>
        </w:rPr>
      </w:pPr>
      <w:r w:rsidRPr="00CE0CEC">
        <w:rPr>
          <w:lang w:val="fr-FR"/>
        </w:rPr>
        <w:t>Sur un terrain incliné, lorsque les piles sont contiguës, le segment [AC]</w:t>
      </w:r>
      <w:r>
        <w:rPr>
          <w:lang w:val="fr-FR"/>
        </w:rPr>
        <w:t xml:space="preserve"> </w:t>
      </w:r>
      <w:r w:rsidRPr="00CE0CEC">
        <w:rPr>
          <w:lang w:val="fr-FR"/>
        </w:rPr>
        <w:t xml:space="preserve">doit impérativement traverser au moins </w:t>
      </w:r>
      <w:smartTag w:uri="urn:schemas-microsoft-com:office:smarttags" w:element="metricconverter">
        <w:smartTagPr>
          <w:attr w:name="ProductID" w:val="1 m"/>
        </w:smartTagPr>
        <w:r w:rsidRPr="00CE0CEC">
          <w:rPr>
            <w:lang w:val="fr-FR"/>
          </w:rPr>
          <w:t>1 m</w:t>
        </w:r>
      </w:smartTag>
      <w:r w:rsidRPr="00CE0CEC">
        <w:rPr>
          <w:lang w:val="fr-FR"/>
        </w:rPr>
        <w:t xml:space="preserve"> d’épaisseur de merlon ou</w:t>
      </w:r>
      <w:r>
        <w:rPr>
          <w:lang w:val="fr-FR"/>
        </w:rPr>
        <w:t xml:space="preserve"> </w:t>
      </w:r>
      <w:r w:rsidRPr="00CE0CEC">
        <w:rPr>
          <w:lang w:val="fr-FR"/>
        </w:rPr>
        <w:t>de terre naturelle non déplacée.</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2"/>
        </w:numPr>
        <w:autoSpaceDE w:val="0"/>
        <w:autoSpaceDN w:val="0"/>
        <w:adjustRightInd w:val="0"/>
        <w:rPr>
          <w:lang w:val="fr-FR"/>
        </w:rPr>
      </w:pPr>
      <w:r w:rsidRPr="00CE0CEC">
        <w:rPr>
          <w:lang w:val="fr-FR"/>
        </w:rPr>
        <w:t>Sur un terrain incliné, lorsque les piles ne sont pas contiguës mais que</w:t>
      </w:r>
      <w:r>
        <w:rPr>
          <w:lang w:val="fr-FR"/>
        </w:rPr>
        <w:t xml:space="preserve"> </w:t>
      </w:r>
      <w:r w:rsidRPr="00CE0CEC">
        <w:rPr>
          <w:lang w:val="fr-FR"/>
        </w:rPr>
        <w:t>la distance de sécurité entre elle</w:t>
      </w:r>
      <w:r>
        <w:rPr>
          <w:lang w:val="fr-FR"/>
        </w:rPr>
        <w:t>s</w:t>
      </w:r>
      <w:r w:rsidRPr="00CE0CEC">
        <w:rPr>
          <w:lang w:val="fr-FR"/>
        </w:rPr>
        <w:t xml:space="preserve"> est inférieure à 5 Q</w:t>
      </w:r>
      <w:r w:rsidRPr="00E602E0">
        <w:rPr>
          <w:vertAlign w:val="superscript"/>
          <w:lang w:val="fr-FR"/>
        </w:rPr>
        <w:t>1/3</w:t>
      </w:r>
      <w:r w:rsidRPr="00CE0CEC">
        <w:rPr>
          <w:lang w:val="fr-FR"/>
        </w:rPr>
        <w:t>, la règle des</w:t>
      </w:r>
      <w:r>
        <w:rPr>
          <w:lang w:val="fr-FR"/>
        </w:rPr>
        <w:t xml:space="preserve"> </w:t>
      </w:r>
      <w:r w:rsidRPr="00CE0CEC">
        <w:rPr>
          <w:lang w:val="fr-FR"/>
        </w:rPr>
        <w:t>2 degrés ne s’applique pas.</w:t>
      </w:r>
    </w:p>
    <w:p w:rsidR="00E73CFD" w:rsidRPr="00CE0CEC" w:rsidRDefault="00E73CFD" w:rsidP="00E73CFD">
      <w:pPr>
        <w:autoSpaceDE w:val="0"/>
        <w:autoSpaceDN w:val="0"/>
        <w:adjustRightInd w:val="0"/>
        <w:ind w:left="720"/>
        <w:rPr>
          <w:lang w:val="fr-FR"/>
        </w:rPr>
      </w:pPr>
    </w:p>
    <w:p w:rsidR="00E73CFD" w:rsidRDefault="00E73CFD" w:rsidP="00E222C8">
      <w:pPr>
        <w:numPr>
          <w:ilvl w:val="0"/>
          <w:numId w:val="4"/>
        </w:numPr>
        <w:autoSpaceDE w:val="0"/>
        <w:autoSpaceDN w:val="0"/>
        <w:adjustRightInd w:val="0"/>
        <w:ind w:hanging="240"/>
        <w:rPr>
          <w:lang w:val="fr-FR"/>
        </w:rPr>
      </w:pPr>
      <w:r w:rsidRPr="00CE0CEC">
        <w:rPr>
          <w:lang w:val="fr-FR"/>
        </w:rPr>
        <w:t>Piles séparées d’au moins 5 Q</w:t>
      </w:r>
      <w:r w:rsidRPr="00812B1C">
        <w:rPr>
          <w:lang w:val="fr-FR"/>
        </w:rPr>
        <w:t>1/3</w:t>
      </w:r>
    </w:p>
    <w:p w:rsidR="00E73CFD" w:rsidRPr="00CE0CEC" w:rsidRDefault="00E73CFD" w:rsidP="00E73CFD">
      <w:pPr>
        <w:autoSpaceDE w:val="0"/>
        <w:autoSpaceDN w:val="0"/>
        <w:adjustRightInd w:val="0"/>
        <w:ind w:left="360"/>
        <w:rPr>
          <w:lang w:val="fr-FR"/>
        </w:rPr>
      </w:pPr>
    </w:p>
    <w:p w:rsidR="00E73CFD" w:rsidRDefault="00E73CFD" w:rsidP="00E73CFD">
      <w:pPr>
        <w:autoSpaceDE w:val="0"/>
        <w:autoSpaceDN w:val="0"/>
        <w:adjustRightInd w:val="0"/>
        <w:ind w:left="840"/>
        <w:rPr>
          <w:lang w:val="fr-FR"/>
        </w:rPr>
      </w:pPr>
      <w:r w:rsidRPr="00CE0CEC">
        <w:rPr>
          <w:lang w:val="fr-FR"/>
        </w:rPr>
        <w:t>Lorsque les piles, qu’elles soient ou non contiguës, sont éloignées d’une</w:t>
      </w:r>
      <w:r>
        <w:rPr>
          <w:lang w:val="fr-FR"/>
        </w:rPr>
        <w:t xml:space="preserve"> </w:t>
      </w:r>
      <w:r w:rsidRPr="00CE0CEC">
        <w:rPr>
          <w:lang w:val="fr-FR"/>
        </w:rPr>
        <w:t>distance de sécurité d’au moins 5 Q</w:t>
      </w:r>
      <w:r w:rsidRPr="00E602E0">
        <w:rPr>
          <w:vertAlign w:val="superscript"/>
          <w:lang w:val="fr-FR"/>
        </w:rPr>
        <w:t>1/3</w:t>
      </w:r>
      <w:r w:rsidRPr="00CE0CEC">
        <w:rPr>
          <w:lang w:val="fr-FR"/>
        </w:rPr>
        <w:t>, les exigences en matière de merlons</w:t>
      </w:r>
      <w:r>
        <w:rPr>
          <w:lang w:val="fr-FR"/>
        </w:rPr>
        <w:t xml:space="preserve"> </w:t>
      </w:r>
      <w:r w:rsidRPr="00CE0CEC">
        <w:rPr>
          <w:lang w:val="fr-FR"/>
        </w:rPr>
        <w:t>sont évaluées au cas par cas par rapport à chaque pile.</w:t>
      </w:r>
    </w:p>
    <w:p w:rsidR="00E73CFD" w:rsidRDefault="00E73CFD" w:rsidP="00E73CFD">
      <w:pPr>
        <w:rPr>
          <w:lang w:val="fr-FR"/>
        </w:rPr>
      </w:pPr>
    </w:p>
    <w:p w:rsidR="00E73CFD" w:rsidRDefault="00E73CFD" w:rsidP="00E222C8">
      <w:pPr>
        <w:numPr>
          <w:ilvl w:val="0"/>
          <w:numId w:val="3"/>
        </w:numPr>
        <w:tabs>
          <w:tab w:val="clear" w:pos="720"/>
        </w:tabs>
        <w:autoSpaceDE w:val="0"/>
        <w:autoSpaceDN w:val="0"/>
        <w:adjustRightInd w:val="0"/>
        <w:ind w:left="0" w:firstLine="0"/>
        <w:rPr>
          <w:lang w:val="fr-FR"/>
        </w:rPr>
      </w:pPr>
      <w:r w:rsidRPr="00995699">
        <w:rPr>
          <w:lang w:val="fr-FR"/>
        </w:rPr>
        <w:t>Longueur du merlon</w:t>
      </w:r>
    </w:p>
    <w:p w:rsidR="00E73CFD" w:rsidRPr="00995699" w:rsidRDefault="00E73CFD" w:rsidP="00E73CFD">
      <w:pPr>
        <w:autoSpaceDE w:val="0"/>
        <w:autoSpaceDN w:val="0"/>
        <w:adjustRightInd w:val="0"/>
        <w:rPr>
          <w:lang w:val="fr-FR"/>
        </w:rPr>
      </w:pPr>
    </w:p>
    <w:p w:rsidR="00E73CFD" w:rsidRDefault="00E73CFD" w:rsidP="00E73CFD">
      <w:pPr>
        <w:autoSpaceDE w:val="0"/>
        <w:autoSpaceDN w:val="0"/>
        <w:adjustRightInd w:val="0"/>
        <w:ind w:left="480"/>
        <w:rPr>
          <w:lang w:val="fr-FR"/>
        </w:rPr>
      </w:pPr>
      <w:r w:rsidRPr="00995699">
        <w:rPr>
          <w:lang w:val="fr-FR"/>
        </w:rPr>
        <w:t>Pour déterminer la longueur du merlon, on prolonge d’un mètre, de part et d’autre,</w:t>
      </w:r>
      <w:r>
        <w:rPr>
          <w:lang w:val="fr-FR"/>
        </w:rPr>
        <w:t xml:space="preserve"> </w:t>
      </w:r>
      <w:r w:rsidRPr="00995699">
        <w:rPr>
          <w:lang w:val="fr-FR"/>
        </w:rPr>
        <w:t>la distance qui sépare les lignes joignant les extrémités des deux piles de</w:t>
      </w:r>
      <w:r>
        <w:rPr>
          <w:lang w:val="fr-FR"/>
        </w:rPr>
        <w:t xml:space="preserve"> </w:t>
      </w:r>
      <w:r w:rsidRPr="00995699">
        <w:rPr>
          <w:lang w:val="fr-FR"/>
        </w:rPr>
        <w:t>munitions considérées. La distance obtenue est appliquée au sommet du merlon</w:t>
      </w:r>
      <w:r>
        <w:rPr>
          <w:lang w:val="fr-FR"/>
        </w:rPr>
        <w:t xml:space="preserve"> </w:t>
      </w:r>
      <w:r w:rsidRPr="00995699">
        <w:rPr>
          <w:lang w:val="fr-FR"/>
        </w:rPr>
        <w:t>et non au pied de ses pentes. Les deux lignes joignant les extrémités des piles</w:t>
      </w:r>
      <w:r>
        <w:rPr>
          <w:lang w:val="fr-FR"/>
        </w:rPr>
        <w:t xml:space="preserve"> </w:t>
      </w:r>
      <w:r w:rsidRPr="00995699">
        <w:rPr>
          <w:lang w:val="fr-FR"/>
        </w:rPr>
        <w:t xml:space="preserve">doivent impérativement traverser au moins </w:t>
      </w:r>
      <w:smartTag w:uri="urn:schemas-microsoft-com:office:smarttags" w:element="metricconverter">
        <w:smartTagPr>
          <w:attr w:name="ProductID" w:val="2.4 m"/>
        </w:smartTagPr>
        <w:r w:rsidRPr="00995699">
          <w:rPr>
            <w:lang w:val="fr-FR"/>
          </w:rPr>
          <w:t>2.4 m</w:t>
        </w:r>
      </w:smartTag>
      <w:r w:rsidRPr="00995699">
        <w:rPr>
          <w:lang w:val="fr-FR"/>
        </w:rPr>
        <w:t xml:space="preserve"> d’épaisseur de merlon ou de</w:t>
      </w:r>
      <w:r>
        <w:rPr>
          <w:lang w:val="fr-FR"/>
        </w:rPr>
        <w:t xml:space="preserve"> </w:t>
      </w:r>
      <w:r w:rsidRPr="00995699">
        <w:rPr>
          <w:lang w:val="fr-FR"/>
        </w:rPr>
        <w:t xml:space="preserve">terre naturelle non déplacée (voir figure </w:t>
      </w:r>
      <w:r>
        <w:rPr>
          <w:lang w:val="fr-FR"/>
        </w:rPr>
        <w:t>1.3.1</w:t>
      </w:r>
      <w:r w:rsidRPr="00995699">
        <w:rPr>
          <w:lang w:val="fr-FR"/>
        </w:rPr>
        <w:t>-I</w:t>
      </w:r>
      <w:r>
        <w:rPr>
          <w:lang w:val="fr-FR"/>
        </w:rPr>
        <w:t>II</w:t>
      </w:r>
      <w:r w:rsidRPr="00995699">
        <w:rPr>
          <w:lang w:val="fr-FR"/>
        </w:rPr>
        <w:t>).</w:t>
      </w:r>
    </w:p>
    <w:p w:rsidR="00E73CFD" w:rsidRPr="00995699" w:rsidRDefault="00E73CFD" w:rsidP="00E73CFD">
      <w:pPr>
        <w:autoSpaceDE w:val="0"/>
        <w:autoSpaceDN w:val="0"/>
        <w:adjustRightInd w:val="0"/>
        <w:rPr>
          <w:lang w:val="fr-FR"/>
        </w:rPr>
      </w:pPr>
    </w:p>
    <w:p w:rsidR="00E73CFD" w:rsidRDefault="00E73CFD" w:rsidP="00E222C8">
      <w:pPr>
        <w:numPr>
          <w:ilvl w:val="0"/>
          <w:numId w:val="3"/>
        </w:numPr>
        <w:tabs>
          <w:tab w:val="clear" w:pos="720"/>
        </w:tabs>
        <w:autoSpaceDE w:val="0"/>
        <w:autoSpaceDN w:val="0"/>
        <w:adjustRightInd w:val="0"/>
        <w:ind w:left="0" w:firstLine="0"/>
        <w:rPr>
          <w:lang w:val="fr-FR"/>
        </w:rPr>
      </w:pPr>
      <w:r w:rsidRPr="00995699">
        <w:rPr>
          <w:lang w:val="fr-FR"/>
        </w:rPr>
        <w:t>Distance de la pile au merlon</w:t>
      </w:r>
    </w:p>
    <w:p w:rsidR="00E73CFD" w:rsidRPr="00995699" w:rsidRDefault="00E73CFD" w:rsidP="00E73CFD">
      <w:pPr>
        <w:autoSpaceDE w:val="0"/>
        <w:autoSpaceDN w:val="0"/>
        <w:adjustRightInd w:val="0"/>
        <w:rPr>
          <w:lang w:val="fr-FR"/>
        </w:rPr>
      </w:pPr>
    </w:p>
    <w:p w:rsidR="00E73CFD" w:rsidRDefault="00E73CFD" w:rsidP="00E222C8">
      <w:pPr>
        <w:numPr>
          <w:ilvl w:val="1"/>
          <w:numId w:val="3"/>
        </w:numPr>
        <w:autoSpaceDE w:val="0"/>
        <w:autoSpaceDN w:val="0"/>
        <w:adjustRightInd w:val="0"/>
        <w:rPr>
          <w:lang w:val="fr-FR"/>
        </w:rPr>
      </w:pPr>
      <w:r w:rsidRPr="00995699">
        <w:rPr>
          <w:lang w:val="fr-FR"/>
        </w:rPr>
        <w:t>La distance d’une pile au pied d’un merlon est un compromis. Chaque cas</w:t>
      </w:r>
      <w:r>
        <w:rPr>
          <w:lang w:val="fr-FR"/>
        </w:rPr>
        <w:t xml:space="preserve"> </w:t>
      </w:r>
      <w:r w:rsidRPr="00995699">
        <w:rPr>
          <w:lang w:val="fr-FR"/>
        </w:rPr>
        <w:t>est évalué individuellement et la solution optimale est sélectionnée en</w:t>
      </w:r>
      <w:r>
        <w:rPr>
          <w:lang w:val="fr-FR"/>
        </w:rPr>
        <w:t xml:space="preserve"> </w:t>
      </w:r>
      <w:r w:rsidRPr="00995699">
        <w:rPr>
          <w:lang w:val="fr-FR"/>
        </w:rPr>
        <w:t>fonction des facteurs suivants.</w:t>
      </w:r>
    </w:p>
    <w:p w:rsidR="00E73CFD" w:rsidRPr="00995699" w:rsidRDefault="00E73CFD" w:rsidP="00E73CFD">
      <w:pPr>
        <w:autoSpaceDE w:val="0"/>
        <w:autoSpaceDN w:val="0"/>
        <w:adjustRightInd w:val="0"/>
        <w:rPr>
          <w:lang w:val="fr-FR"/>
        </w:rPr>
      </w:pPr>
    </w:p>
    <w:p w:rsidR="00E73CFD" w:rsidRDefault="00E73CFD" w:rsidP="00E222C8">
      <w:pPr>
        <w:numPr>
          <w:ilvl w:val="1"/>
          <w:numId w:val="3"/>
        </w:numPr>
        <w:autoSpaceDE w:val="0"/>
        <w:autoSpaceDN w:val="0"/>
        <w:adjustRightInd w:val="0"/>
        <w:rPr>
          <w:lang w:val="fr-FR"/>
        </w:rPr>
      </w:pPr>
      <w:r w:rsidRPr="00995699">
        <w:rPr>
          <w:lang w:val="fr-FR"/>
        </w:rPr>
        <w:t>Plus un merlon est proche d’une pile, plus il peut intercepter les projections à</w:t>
      </w:r>
      <w:r>
        <w:rPr>
          <w:lang w:val="fr-FR"/>
        </w:rPr>
        <w:t xml:space="preserve"> </w:t>
      </w:r>
      <w:r w:rsidRPr="00995699">
        <w:rPr>
          <w:lang w:val="fr-FR"/>
        </w:rPr>
        <w:t>grande vitesse à l’intérieur d’un angle solide donné. Cependant, sur un</w:t>
      </w:r>
      <w:r>
        <w:rPr>
          <w:lang w:val="fr-FR"/>
        </w:rPr>
        <w:t xml:space="preserve"> </w:t>
      </w:r>
      <w:r w:rsidRPr="00995699">
        <w:rPr>
          <w:lang w:val="fr-FR"/>
        </w:rPr>
        <w:t>terrain incliné, la distance de séparation minimale ne correspond pas</w:t>
      </w:r>
      <w:r>
        <w:rPr>
          <w:lang w:val="fr-FR"/>
        </w:rPr>
        <w:t xml:space="preserve"> </w:t>
      </w:r>
      <w:r w:rsidRPr="00995699">
        <w:rPr>
          <w:lang w:val="fr-FR"/>
        </w:rPr>
        <w:t>nécessairement à un merlon de taille minimale.</w:t>
      </w:r>
    </w:p>
    <w:p w:rsidR="00E73CFD" w:rsidRPr="00995699" w:rsidRDefault="00E73CFD" w:rsidP="00E73CFD">
      <w:pPr>
        <w:autoSpaceDE w:val="0"/>
        <w:autoSpaceDN w:val="0"/>
        <w:adjustRightInd w:val="0"/>
        <w:rPr>
          <w:lang w:val="fr-FR"/>
        </w:rPr>
      </w:pPr>
    </w:p>
    <w:p w:rsidR="00E73CFD" w:rsidRDefault="00E73CFD" w:rsidP="00E222C8">
      <w:pPr>
        <w:numPr>
          <w:ilvl w:val="1"/>
          <w:numId w:val="3"/>
        </w:numPr>
        <w:autoSpaceDE w:val="0"/>
        <w:autoSpaceDN w:val="0"/>
        <w:adjustRightInd w:val="0"/>
        <w:rPr>
          <w:lang w:val="fr-FR"/>
        </w:rPr>
      </w:pPr>
      <w:r w:rsidRPr="00995699">
        <w:rPr>
          <w:lang w:val="fr-FR"/>
        </w:rPr>
        <w:t>Si le merlon est plus éloigné de la pile, l’accès des véhicules et du personnel</w:t>
      </w:r>
      <w:r>
        <w:rPr>
          <w:lang w:val="fr-FR"/>
        </w:rPr>
        <w:t xml:space="preserve"> </w:t>
      </w:r>
      <w:r w:rsidRPr="00995699">
        <w:rPr>
          <w:lang w:val="fr-FR"/>
        </w:rPr>
        <w:t>de maintenance est facilité. De plus, il est ainsi possible d’implanter le</w:t>
      </w:r>
      <w:r>
        <w:rPr>
          <w:lang w:val="fr-FR"/>
        </w:rPr>
        <w:t xml:space="preserve"> </w:t>
      </w:r>
      <w:r w:rsidRPr="00995699">
        <w:rPr>
          <w:lang w:val="fr-FR"/>
        </w:rPr>
        <w:t>merlon au-delà du rayon du cratère prévu, lorsque le PES</w:t>
      </w:r>
      <w:r>
        <w:rPr>
          <w:rStyle w:val="Voetnootmarkering"/>
          <w:lang w:val="fr-FR"/>
        </w:rPr>
        <w:footnoteReference w:id="8"/>
      </w:r>
      <w:r>
        <w:rPr>
          <w:lang w:val="fr-FR"/>
        </w:rPr>
        <w:t xml:space="preserve"> </w:t>
      </w:r>
      <w:r w:rsidRPr="00995699">
        <w:rPr>
          <w:lang w:val="fr-FR"/>
        </w:rPr>
        <w:t>contient des</w:t>
      </w:r>
      <w:r>
        <w:rPr>
          <w:lang w:val="fr-FR"/>
        </w:rPr>
        <w:t xml:space="preserve"> </w:t>
      </w:r>
      <w:r w:rsidRPr="00995699">
        <w:rPr>
          <w:lang w:val="fr-FR"/>
        </w:rPr>
        <w:t>munitions ou explosifs de la division de risque 1.1. Dans certaines</w:t>
      </w:r>
      <w:r>
        <w:rPr>
          <w:lang w:val="fr-FR"/>
        </w:rPr>
        <w:t xml:space="preserve"> </w:t>
      </w:r>
      <w:r w:rsidRPr="00995699">
        <w:rPr>
          <w:lang w:val="fr-FR"/>
        </w:rPr>
        <w:t>circonstances, le fait de ne pas construire à l’intérieur de la superficie du</w:t>
      </w:r>
      <w:r>
        <w:rPr>
          <w:lang w:val="fr-FR"/>
        </w:rPr>
        <w:t xml:space="preserve"> cratère est un avantage</w:t>
      </w:r>
      <w:r w:rsidRPr="00995699">
        <w:rPr>
          <w:lang w:val="fr-FR"/>
        </w:rPr>
        <w:t>. Le merlon doit</w:t>
      </w:r>
      <w:r>
        <w:rPr>
          <w:lang w:val="fr-FR"/>
        </w:rPr>
        <w:t xml:space="preserve"> </w:t>
      </w:r>
      <w:r w:rsidRPr="00995699">
        <w:rPr>
          <w:lang w:val="fr-FR"/>
        </w:rPr>
        <w:t>impérativement être implanté de manière à ce qu’en cas de formation d’un</w:t>
      </w:r>
      <w:r>
        <w:rPr>
          <w:lang w:val="fr-FR"/>
        </w:rPr>
        <w:t xml:space="preserve"> </w:t>
      </w:r>
      <w:r w:rsidRPr="00995699">
        <w:rPr>
          <w:lang w:val="fr-FR"/>
        </w:rPr>
        <w:t>cratère, son épaisseur ne soit pas réduite de plus d’un tiers au niveau du sol.</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Pr="00393D77" w:rsidRDefault="00E73CFD" w:rsidP="00E73CFD">
      <w:pPr>
        <w:autoSpaceDE w:val="0"/>
        <w:autoSpaceDN w:val="0"/>
        <w:adjustRightInd w:val="0"/>
        <w:rPr>
          <w:u w:val="single"/>
          <w:lang w:val="fr-FR"/>
        </w:rPr>
      </w:pPr>
      <w:r w:rsidRPr="00707E17">
        <w:rPr>
          <w:u w:val="single"/>
          <w:lang w:val="fr-FR"/>
        </w:rPr>
        <w:t>Figure 1.3.1-I : Détermination de la hauteur d’un merlon sur un terrain plat</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r w:rsidRPr="006D3708">
        <w:rPr>
          <w:noProof/>
          <w:lang w:eastAsia="fr-BE"/>
        </w:rPr>
        <w:pict>
          <v:shape id="Image 5" o:spid="_x0000_i1033" type="#_x0000_t75" style="width:453.75pt;height:131.25pt;visibility:visible">
            <v:imagedata r:id="rId27" o:title=""/>
          </v:shape>
        </w:pict>
      </w:r>
    </w:p>
    <w:p w:rsidR="00E73CFD" w:rsidRDefault="00E73CFD" w:rsidP="00E73CFD">
      <w:pPr>
        <w:autoSpaceDE w:val="0"/>
        <w:autoSpaceDN w:val="0"/>
        <w:adjustRightInd w:val="0"/>
        <w:rPr>
          <w:lang w:val="fr-FR"/>
        </w:rPr>
      </w:pPr>
    </w:p>
    <w:p w:rsidR="00E73CFD" w:rsidRPr="00393D77" w:rsidRDefault="00E73CFD" w:rsidP="00E73CFD">
      <w:pPr>
        <w:autoSpaceDE w:val="0"/>
        <w:autoSpaceDN w:val="0"/>
        <w:adjustRightInd w:val="0"/>
        <w:rPr>
          <w:u w:val="single"/>
          <w:lang w:val="fr-FR"/>
        </w:rPr>
      </w:pPr>
      <w:r w:rsidRPr="00707E17">
        <w:rPr>
          <w:u w:val="single"/>
          <w:lang w:val="fr-FR"/>
        </w:rPr>
        <w:t>Figure 1.3.1-II : Détermination de la hauteur d’un merlon sur un terrain incliné</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r w:rsidRPr="006D3708">
        <w:rPr>
          <w:noProof/>
          <w:lang w:eastAsia="fr-BE"/>
        </w:rPr>
        <w:pict>
          <v:shape id="Image 6" o:spid="_x0000_i1034" type="#_x0000_t75" style="width:453.75pt;height:164.25pt;visibility:visible">
            <v:imagedata r:id="rId28" o:title=""/>
          </v:shape>
        </w:pict>
      </w:r>
    </w:p>
    <w:p w:rsidR="00E73CFD" w:rsidRDefault="00E73CFD" w:rsidP="00E73CFD">
      <w:pPr>
        <w:autoSpaceDE w:val="0"/>
        <w:autoSpaceDN w:val="0"/>
        <w:adjustRightInd w:val="0"/>
        <w:rPr>
          <w:lang w:val="fr-FR"/>
        </w:rPr>
      </w:pPr>
    </w:p>
    <w:p w:rsidR="00E73CFD" w:rsidRPr="00393D77" w:rsidRDefault="00E73CFD" w:rsidP="00E73CFD">
      <w:pPr>
        <w:autoSpaceDE w:val="0"/>
        <w:autoSpaceDN w:val="0"/>
        <w:adjustRightInd w:val="0"/>
        <w:rPr>
          <w:u w:val="single"/>
          <w:lang w:val="fr-FR"/>
        </w:rPr>
      </w:pPr>
      <w:r w:rsidRPr="00707E17">
        <w:rPr>
          <w:u w:val="single"/>
          <w:lang w:val="fr-FR"/>
        </w:rPr>
        <w:t>Figure 1.3.1-III : Détermination de la longueur d’un merlon</w:t>
      </w:r>
      <w:r w:rsidRPr="00393D77">
        <w:rPr>
          <w:u w:val="single"/>
          <w:lang w:val="fr-FR"/>
        </w:rPr>
        <w:t xml:space="preserve"> </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r w:rsidRPr="006D3708">
        <w:rPr>
          <w:noProof/>
          <w:lang w:eastAsia="fr-BE"/>
        </w:rPr>
        <w:pict>
          <v:shape id="Image 7" o:spid="_x0000_i1035" type="#_x0000_t75" style="width:395.25pt;height:164.25pt;visibility:visible">
            <v:imagedata r:id="rId29" o:title=""/>
          </v:shape>
        </w:pic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490F1C" w:rsidRDefault="00490F1C"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Pr="00490F1C" w:rsidRDefault="00D05B15" w:rsidP="00490F1C">
      <w:pPr>
        <w:ind w:left="1560" w:hanging="851"/>
        <w:rPr>
          <w:b/>
          <w:i/>
          <w:sz w:val="24"/>
          <w:szCs w:val="24"/>
          <w:lang w:val="fr-FR"/>
        </w:rPr>
      </w:pPr>
      <w:bookmarkStart w:id="51" w:name="_Hlk2340624"/>
      <w:r w:rsidRPr="00490F1C">
        <w:rPr>
          <w:b/>
          <w:i/>
          <w:sz w:val="24"/>
          <w:szCs w:val="24"/>
          <w:lang w:val="fr-FR"/>
        </w:rPr>
        <w:t>4</w:t>
      </w:r>
      <w:r w:rsidR="00E73CFD" w:rsidRPr="00490F1C">
        <w:rPr>
          <w:b/>
          <w:i/>
          <w:sz w:val="24"/>
          <w:szCs w:val="24"/>
          <w:lang w:val="fr-FR"/>
        </w:rPr>
        <w:t xml:space="preserve">.3.2 </w:t>
      </w:r>
      <w:r w:rsidR="00490F1C" w:rsidRPr="00490F1C">
        <w:rPr>
          <w:b/>
          <w:i/>
          <w:sz w:val="24"/>
          <w:szCs w:val="24"/>
          <w:lang w:val="fr-FR"/>
        </w:rPr>
        <w:t>P</w:t>
      </w:r>
      <w:r w:rsidR="00E73CFD" w:rsidRPr="00490F1C">
        <w:rPr>
          <w:b/>
          <w:i/>
          <w:sz w:val="24"/>
          <w:szCs w:val="24"/>
          <w:lang w:val="fr-FR"/>
        </w:rPr>
        <w:t>ente unique face verticale ou face partiellement verticale partiellement en pente ou merlon de double pente raide.</w:t>
      </w:r>
    </w:p>
    <w:p w:rsidR="00E73CFD" w:rsidRDefault="00E73CFD" w:rsidP="00E73CFD">
      <w:pPr>
        <w:autoSpaceDE w:val="0"/>
        <w:autoSpaceDN w:val="0"/>
        <w:adjustRightInd w:val="0"/>
        <w:rPr>
          <w:sz w:val="28"/>
          <w:szCs w:val="28"/>
          <w:lang w:val="fr-FR"/>
        </w:rPr>
      </w:pPr>
    </w:p>
    <w:p w:rsidR="00E73CFD" w:rsidRPr="0072586C" w:rsidRDefault="00E73CFD" w:rsidP="00E73CFD">
      <w:pPr>
        <w:rPr>
          <w:lang w:val="fr-FR"/>
        </w:rPr>
      </w:pPr>
      <w:r>
        <w:rPr>
          <w:lang w:val="fr-FR"/>
        </w:rPr>
        <w:t xml:space="preserve">(International Ammunition </w:t>
      </w:r>
      <w:proofErr w:type="spellStart"/>
      <w:r>
        <w:rPr>
          <w:lang w:val="fr-FR"/>
        </w:rPr>
        <w:t>Technical</w:t>
      </w:r>
      <w:proofErr w:type="spellEnd"/>
      <w:r>
        <w:rPr>
          <w:lang w:val="fr-FR"/>
        </w:rPr>
        <w:t xml:space="preserve"> Guideline - Traverses and barricades</w:t>
      </w:r>
      <w:r w:rsidRPr="00CE0CEC">
        <w:rPr>
          <w:lang w:val="fr-FR"/>
        </w:rPr>
        <w:t xml:space="preserve"> (</w:t>
      </w:r>
      <w:r>
        <w:rPr>
          <w:lang w:val="fr-FR"/>
        </w:rPr>
        <w:t xml:space="preserve">The UN Office for </w:t>
      </w:r>
      <w:proofErr w:type="spellStart"/>
      <w:r>
        <w:rPr>
          <w:lang w:val="fr-FR"/>
        </w:rPr>
        <w:t>Disarmament</w:t>
      </w:r>
      <w:proofErr w:type="spellEnd"/>
      <w:r>
        <w:rPr>
          <w:lang w:val="fr-FR"/>
        </w:rPr>
        <w:t xml:space="preserve"> </w:t>
      </w:r>
      <w:proofErr w:type="spellStart"/>
      <w:r>
        <w:rPr>
          <w:lang w:val="fr-FR"/>
        </w:rPr>
        <w:t>Affairs</w:t>
      </w:r>
      <w:proofErr w:type="spellEnd"/>
      <w:r>
        <w:rPr>
          <w:lang w:val="fr-FR"/>
        </w:rPr>
        <w:t xml:space="preserve"> (UN ODA) - IATG 05.30</w:t>
      </w:r>
      <w:r w:rsidRPr="00CE0CEC">
        <w:rPr>
          <w:lang w:val="fr-FR"/>
        </w:rPr>
        <w:t xml:space="preserve">, </w:t>
      </w:r>
      <w:r>
        <w:rPr>
          <w:lang w:val="fr-FR"/>
        </w:rPr>
        <w:t>First Edition, 01/10/2001</w:t>
      </w:r>
      <w:r w:rsidRPr="00CE0CEC">
        <w:rPr>
          <w:lang w:val="fr-FR"/>
        </w:rPr>
        <w:t>)</w:t>
      </w:r>
      <w:r>
        <w:rPr>
          <w:lang w:val="fr-FR"/>
        </w:rPr>
        <w:t>)</w:t>
      </w:r>
    </w:p>
    <w:p w:rsidR="00E73CFD" w:rsidRDefault="00E73CFD" w:rsidP="00E73CFD">
      <w:pPr>
        <w:autoSpaceDE w:val="0"/>
        <w:autoSpaceDN w:val="0"/>
        <w:adjustRightInd w:val="0"/>
        <w:rPr>
          <w:sz w:val="28"/>
          <w:szCs w:val="28"/>
          <w:lang w:val="fr-FR"/>
        </w:rPr>
      </w:pPr>
    </w:p>
    <w:p w:rsidR="00E73CFD" w:rsidRPr="003B7638" w:rsidRDefault="00E73CFD" w:rsidP="00E222C8">
      <w:pPr>
        <w:pStyle w:val="Lijstalinea"/>
        <w:numPr>
          <w:ilvl w:val="0"/>
          <w:numId w:val="23"/>
        </w:numPr>
        <w:autoSpaceDE w:val="0"/>
        <w:autoSpaceDN w:val="0"/>
        <w:adjustRightInd w:val="0"/>
        <w:jc w:val="both"/>
        <w:rPr>
          <w:lang w:val="fr-FR"/>
        </w:rPr>
      </w:pPr>
      <w:r>
        <w:rPr>
          <w:lang w:val="fr-FR"/>
        </w:rPr>
        <w:t>Généralités</w:t>
      </w:r>
    </w:p>
    <w:p w:rsidR="00E73CFD" w:rsidRPr="003B7638" w:rsidRDefault="00E73CFD" w:rsidP="00E73CFD">
      <w:pPr>
        <w:autoSpaceDE w:val="0"/>
        <w:autoSpaceDN w:val="0"/>
        <w:adjustRightInd w:val="0"/>
        <w:rPr>
          <w:lang w:val="fr-FR"/>
        </w:rPr>
      </w:pPr>
    </w:p>
    <w:p w:rsidR="00E73CFD" w:rsidRDefault="00E73CFD" w:rsidP="00E73CFD">
      <w:pPr>
        <w:autoSpaceDE w:val="0"/>
        <w:autoSpaceDN w:val="0"/>
        <w:adjustRightInd w:val="0"/>
      </w:pPr>
      <w:r>
        <w:t>Si de la brique, du béton ou de l'acier sont utilisés pour soutenir la face verticale d'un merlon à pente unique et face verticale (figure 1.3.2-I) ou un merlon à face partiellement verticale et partiellement en pente (figure 1.3.2-II) ou encore un merlon à double pente raide (figure 1.3.2-III), leur efficacité d'arrêter les projections à haute vitesse est augmentée par rapport à une traverse entièrement en terre. Les chiffres d'efficacité sont présentés dans le Tableau suivant (tableau 1.3.2).</w:t>
      </w:r>
    </w:p>
    <w:p w:rsidR="00E73CFD" w:rsidRDefault="00E73CFD" w:rsidP="00E73CFD">
      <w:pPr>
        <w:autoSpaceDE w:val="0"/>
        <w:autoSpaceDN w:val="0"/>
        <w:adjustRightInd w:val="0"/>
      </w:pPr>
    </w:p>
    <w:p w:rsidR="00E73CFD" w:rsidRPr="00800981" w:rsidRDefault="00E73CFD" w:rsidP="00E73CFD">
      <w:pPr>
        <w:autoSpaceDE w:val="0"/>
        <w:autoSpaceDN w:val="0"/>
        <w:adjustRightInd w:val="0"/>
        <w:rPr>
          <w:u w:val="single"/>
        </w:rPr>
      </w:pPr>
      <w:r w:rsidRPr="00800981">
        <w:rPr>
          <w:u w:val="single"/>
        </w:rPr>
        <w:t>Tableau 1.3.2</w:t>
      </w:r>
      <w:r>
        <w:rPr>
          <w:u w:val="single"/>
        </w:rPr>
        <w:t xml:space="preserve"> : </w:t>
      </w:r>
      <w:r w:rsidRPr="00800981">
        <w:rPr>
          <w:u w:val="single"/>
        </w:rPr>
        <w:t>Efficacité des matériaux par rapport au sol</w:t>
      </w:r>
    </w:p>
    <w:p w:rsidR="00E73CFD" w:rsidRDefault="00E73CFD" w:rsidP="00E73CFD">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E73CFD" w:rsidRPr="00800981" w:rsidTr="000E0372">
        <w:tc>
          <w:tcPr>
            <w:tcW w:w="4605" w:type="dxa"/>
            <w:shd w:val="clear" w:color="auto" w:fill="E7E6E6"/>
          </w:tcPr>
          <w:p w:rsidR="00E73CFD" w:rsidRPr="000E0372" w:rsidRDefault="00E73CFD" w:rsidP="000E0372">
            <w:pPr>
              <w:autoSpaceDE w:val="0"/>
              <w:autoSpaceDN w:val="0"/>
              <w:adjustRightInd w:val="0"/>
              <w:jc w:val="center"/>
              <w:rPr>
                <w:b/>
              </w:rPr>
            </w:pPr>
            <w:r w:rsidRPr="000E0372">
              <w:rPr>
                <w:b/>
              </w:rPr>
              <w:t>Matériel</w:t>
            </w:r>
          </w:p>
        </w:tc>
        <w:tc>
          <w:tcPr>
            <w:tcW w:w="4605" w:type="dxa"/>
            <w:shd w:val="clear" w:color="auto" w:fill="E7E6E6"/>
          </w:tcPr>
          <w:p w:rsidR="00E73CFD" w:rsidRPr="000E0372" w:rsidRDefault="00E73CFD" w:rsidP="000E0372">
            <w:pPr>
              <w:autoSpaceDE w:val="0"/>
              <w:autoSpaceDN w:val="0"/>
              <w:adjustRightInd w:val="0"/>
              <w:jc w:val="center"/>
              <w:rPr>
                <w:b/>
              </w:rPr>
            </w:pPr>
            <w:r w:rsidRPr="000E0372">
              <w:rPr>
                <w:b/>
              </w:rPr>
              <w:t>Efficacité par rapport au sol (valeur nominal</w:t>
            </w:r>
            <w:r w:rsidR="00E907CA">
              <w:rPr>
                <w:b/>
              </w:rPr>
              <w:t>e</w:t>
            </w:r>
            <w:r w:rsidRPr="000E0372">
              <w:rPr>
                <w:b/>
              </w:rPr>
              <w:t xml:space="preserve"> de 1)</w:t>
            </w:r>
          </w:p>
        </w:tc>
      </w:tr>
      <w:tr w:rsidR="00E73CFD" w:rsidTr="000E0372">
        <w:tc>
          <w:tcPr>
            <w:tcW w:w="4605" w:type="dxa"/>
            <w:shd w:val="clear" w:color="auto" w:fill="auto"/>
          </w:tcPr>
          <w:p w:rsidR="00E73CFD" w:rsidRDefault="00E73CFD" w:rsidP="000E0372">
            <w:pPr>
              <w:autoSpaceDE w:val="0"/>
              <w:autoSpaceDN w:val="0"/>
              <w:adjustRightInd w:val="0"/>
            </w:pPr>
            <w:r>
              <w:t>Brique</w:t>
            </w:r>
          </w:p>
        </w:tc>
        <w:tc>
          <w:tcPr>
            <w:tcW w:w="4605" w:type="dxa"/>
            <w:shd w:val="clear" w:color="auto" w:fill="auto"/>
          </w:tcPr>
          <w:p w:rsidR="00E73CFD" w:rsidRDefault="00E73CFD" w:rsidP="000E0372">
            <w:pPr>
              <w:autoSpaceDE w:val="0"/>
              <w:autoSpaceDN w:val="0"/>
              <w:adjustRightInd w:val="0"/>
              <w:jc w:val="center"/>
            </w:pPr>
            <w:r>
              <w:t>x 4</w:t>
            </w:r>
          </w:p>
        </w:tc>
      </w:tr>
      <w:tr w:rsidR="00E73CFD" w:rsidTr="000E0372">
        <w:tc>
          <w:tcPr>
            <w:tcW w:w="4605" w:type="dxa"/>
            <w:shd w:val="clear" w:color="auto" w:fill="auto"/>
          </w:tcPr>
          <w:p w:rsidR="00E73CFD" w:rsidRDefault="00E73CFD" w:rsidP="000E0372">
            <w:pPr>
              <w:autoSpaceDE w:val="0"/>
              <w:autoSpaceDN w:val="0"/>
              <w:adjustRightInd w:val="0"/>
            </w:pPr>
            <w:r>
              <w:t>Béton</w:t>
            </w:r>
          </w:p>
        </w:tc>
        <w:tc>
          <w:tcPr>
            <w:tcW w:w="4605" w:type="dxa"/>
            <w:shd w:val="clear" w:color="auto" w:fill="auto"/>
          </w:tcPr>
          <w:p w:rsidR="00E73CFD" w:rsidRDefault="00E73CFD" w:rsidP="000E0372">
            <w:pPr>
              <w:autoSpaceDE w:val="0"/>
              <w:autoSpaceDN w:val="0"/>
              <w:adjustRightInd w:val="0"/>
              <w:jc w:val="center"/>
            </w:pPr>
            <w:r>
              <w:t>x 6</w:t>
            </w:r>
          </w:p>
        </w:tc>
      </w:tr>
      <w:tr w:rsidR="00E73CFD" w:rsidTr="000E0372">
        <w:tc>
          <w:tcPr>
            <w:tcW w:w="4605" w:type="dxa"/>
            <w:shd w:val="clear" w:color="auto" w:fill="auto"/>
          </w:tcPr>
          <w:p w:rsidR="00E73CFD" w:rsidRDefault="00E73CFD" w:rsidP="000E0372">
            <w:pPr>
              <w:autoSpaceDE w:val="0"/>
              <w:autoSpaceDN w:val="0"/>
              <w:adjustRightInd w:val="0"/>
            </w:pPr>
            <w:r>
              <w:t>Acier</w:t>
            </w:r>
          </w:p>
        </w:tc>
        <w:tc>
          <w:tcPr>
            <w:tcW w:w="4605" w:type="dxa"/>
            <w:shd w:val="clear" w:color="auto" w:fill="auto"/>
          </w:tcPr>
          <w:p w:rsidR="00E73CFD" w:rsidRDefault="00E73CFD" w:rsidP="000E0372">
            <w:pPr>
              <w:autoSpaceDE w:val="0"/>
              <w:autoSpaceDN w:val="0"/>
              <w:adjustRightInd w:val="0"/>
              <w:jc w:val="center"/>
            </w:pPr>
            <w:r>
              <w:t>x 24</w:t>
            </w:r>
          </w:p>
        </w:tc>
      </w:tr>
    </w:tbl>
    <w:p w:rsidR="00E73CFD" w:rsidRDefault="00E73CFD" w:rsidP="00E73CFD">
      <w:pPr>
        <w:autoSpaceDE w:val="0"/>
        <w:autoSpaceDN w:val="0"/>
        <w:adjustRightInd w:val="0"/>
      </w:pPr>
    </w:p>
    <w:p w:rsidR="00E73CFD" w:rsidRDefault="00E73CFD" w:rsidP="00E73CFD">
      <w:pPr>
        <w:autoSpaceDE w:val="0"/>
        <w:autoSpaceDN w:val="0"/>
        <w:adjustRightInd w:val="0"/>
      </w:pPr>
      <w:r>
        <w:t>Cette efficacité indique que l'épaisseur de la traverse peut être réduite en fonction. Cependant, la masse équivalente d'un merlon d’interception ne doit pas être réduite en dessous de 2.4m de terre au niveau du haut de l'empilement ou de l'avant toit du SPE pour éviter la dispersion de la traverse.</w:t>
      </w:r>
    </w:p>
    <w:p w:rsidR="00E73CFD" w:rsidRDefault="00E73CFD" w:rsidP="00E73CFD">
      <w:pPr>
        <w:autoSpaceDE w:val="0"/>
        <w:autoSpaceDN w:val="0"/>
        <w:adjustRightInd w:val="0"/>
      </w:pPr>
    </w:p>
    <w:p w:rsidR="00E73CFD" w:rsidRPr="003B7638" w:rsidRDefault="00E73CFD" w:rsidP="00E222C8">
      <w:pPr>
        <w:pStyle w:val="Lijstalinea"/>
        <w:numPr>
          <w:ilvl w:val="0"/>
          <w:numId w:val="23"/>
        </w:numPr>
        <w:autoSpaceDE w:val="0"/>
        <w:autoSpaceDN w:val="0"/>
        <w:adjustRightInd w:val="0"/>
        <w:jc w:val="both"/>
        <w:rPr>
          <w:lang w:val="fr-FR"/>
        </w:rPr>
      </w:pPr>
      <w:r>
        <w:rPr>
          <w:lang w:val="fr-FR"/>
        </w:rPr>
        <w:t>Hauteur du merlon</w:t>
      </w:r>
    </w:p>
    <w:p w:rsidR="00E73CFD" w:rsidRDefault="00E73CFD" w:rsidP="00E73CFD">
      <w:pPr>
        <w:autoSpaceDE w:val="0"/>
        <w:autoSpaceDN w:val="0"/>
        <w:adjustRightInd w:val="0"/>
      </w:pPr>
    </w:p>
    <w:p w:rsidR="00E73CFD" w:rsidRDefault="00E73CFD" w:rsidP="00E73CFD">
      <w:pPr>
        <w:autoSpaceDE w:val="0"/>
        <w:autoSpaceDN w:val="0"/>
        <w:adjustRightInd w:val="0"/>
      </w:pPr>
      <w:r>
        <w:t>En ce qui concerne la hauteur, la règle de 2 degrés s’applique également pour autant que les PES soient séparés d’une distance &gt; 5 Q</w:t>
      </w:r>
      <w:r w:rsidRPr="00D15C73">
        <w:rPr>
          <w:vertAlign w:val="superscript"/>
        </w:rPr>
        <w:t>1/3</w:t>
      </w:r>
      <w:r>
        <w:t>.</w:t>
      </w:r>
    </w:p>
    <w:p w:rsidR="00E73CFD" w:rsidRDefault="00E73CFD" w:rsidP="00E73CFD">
      <w:pPr>
        <w:autoSpaceDE w:val="0"/>
        <w:autoSpaceDN w:val="0"/>
        <w:adjustRightInd w:val="0"/>
      </w:pPr>
      <w:r>
        <w:t>Un alternatif à la règle de 2 degrés consiste à s'assurer qu'il y a au moins 0.6m d'hauteur de barricade supplémentaire le long de la ligne de mire d'un PES à l'autre.</w:t>
      </w:r>
    </w:p>
    <w:p w:rsidR="00E73CFD" w:rsidRDefault="00E73CFD" w:rsidP="00E73CFD">
      <w:pPr>
        <w:autoSpaceDE w:val="0"/>
        <w:autoSpaceDN w:val="0"/>
        <w:adjustRightInd w:val="0"/>
      </w:pPr>
    </w:p>
    <w:p w:rsidR="00E73CFD" w:rsidRDefault="00E73CFD" w:rsidP="00E73CFD">
      <w:pPr>
        <w:autoSpaceDE w:val="0"/>
        <w:autoSpaceDN w:val="0"/>
        <w:adjustRightInd w:val="0"/>
      </w:pPr>
      <w:r>
        <w:t>Si, suite à l'application de la règle de 2 degrés, les traverses sont plus basses que l'avant toit du bâtiment en raison des empilements bas de matières explosives qui y sont stockés, il faut considérer une augmentation de la hauteur de la traverse jusqu'à l'avant toit du bâtiment. Ceci sert à limiter la projection de débris du bâtiment. Toutefois, il pourrait en résulter des traverses anormalement hautes, il y aurait lieu dès lors de trouver un compromis.</w:t>
      </w:r>
    </w:p>
    <w:p w:rsidR="00E73CFD" w:rsidRDefault="00E73CFD" w:rsidP="00E73CFD">
      <w:pPr>
        <w:autoSpaceDE w:val="0"/>
        <w:autoSpaceDN w:val="0"/>
        <w:adjustRightInd w:val="0"/>
      </w:pPr>
    </w:p>
    <w:p w:rsidR="00E73CFD" w:rsidRPr="003B7638" w:rsidRDefault="00E73CFD" w:rsidP="00E222C8">
      <w:pPr>
        <w:pStyle w:val="Lijstalinea"/>
        <w:numPr>
          <w:ilvl w:val="0"/>
          <w:numId w:val="23"/>
        </w:numPr>
        <w:autoSpaceDE w:val="0"/>
        <w:autoSpaceDN w:val="0"/>
        <w:adjustRightInd w:val="0"/>
        <w:jc w:val="both"/>
        <w:rPr>
          <w:lang w:val="fr-FR"/>
        </w:rPr>
      </w:pPr>
      <w:r>
        <w:rPr>
          <w:lang w:val="fr-FR"/>
        </w:rPr>
        <w:t>Largeur du merlon</w:t>
      </w:r>
    </w:p>
    <w:p w:rsidR="00E73CFD" w:rsidRDefault="00E73CFD" w:rsidP="00E73CFD">
      <w:pPr>
        <w:autoSpaceDE w:val="0"/>
        <w:autoSpaceDN w:val="0"/>
        <w:adjustRightInd w:val="0"/>
      </w:pPr>
    </w:p>
    <w:p w:rsidR="00E73CFD" w:rsidRDefault="00E73CFD" w:rsidP="00E73CFD">
      <w:pPr>
        <w:autoSpaceDE w:val="0"/>
        <w:autoSpaceDN w:val="0"/>
        <w:adjustRightInd w:val="0"/>
      </w:pPr>
      <w:r>
        <w:t xml:space="preserve">Idéalement, une traverse devrait entièrement entourer le PES qu'elle protège afin de garder une souplesse pour un développement ultérieur. Cependant, si cela n'est pas le cas, alors elle devrait se prolonger au-delà des bords du PES, sans réduire la hauteur globale, afin d'éliminer toute ligne de mire potentielle de l'autre PES et le site exposé. Cette longueur ne doit pas être inférieure à 1 mètre à chaque bout de la traverse sur tous les côtés du PES qui sont traversés. </w:t>
      </w:r>
    </w:p>
    <w:p w:rsidR="00E73CFD" w:rsidRDefault="00E73CFD" w:rsidP="00E73CFD">
      <w:pPr>
        <w:autoSpaceDE w:val="0"/>
        <w:autoSpaceDN w:val="0"/>
        <w:adjustRightInd w:val="0"/>
      </w:pPr>
    </w:p>
    <w:p w:rsidR="00E73CFD" w:rsidRDefault="00E73CFD" w:rsidP="00E73CFD">
      <w:pPr>
        <w:autoSpaceDE w:val="0"/>
        <w:autoSpaceDN w:val="0"/>
        <w:adjustRightInd w:val="0"/>
      </w:pPr>
    </w:p>
    <w:p w:rsidR="00E73CFD" w:rsidRDefault="00490F1C" w:rsidP="00E73CFD">
      <w:pPr>
        <w:autoSpaceDE w:val="0"/>
        <w:autoSpaceDN w:val="0"/>
        <w:adjustRightInd w:val="0"/>
      </w:pPr>
      <w:r>
        <w:br w:type="page"/>
      </w:r>
    </w:p>
    <w:p w:rsidR="00E73CFD" w:rsidRPr="003B7310" w:rsidRDefault="00E73CFD" w:rsidP="00E73CFD">
      <w:pPr>
        <w:autoSpaceDE w:val="0"/>
        <w:autoSpaceDN w:val="0"/>
        <w:adjustRightInd w:val="0"/>
        <w:rPr>
          <w:u w:val="single"/>
        </w:rPr>
      </w:pPr>
      <w:r w:rsidRPr="003B7310">
        <w:rPr>
          <w:u w:val="single"/>
        </w:rPr>
        <w:t>Figure 1.3.2 I : pente unique face verticale</w:t>
      </w:r>
    </w:p>
    <w:p w:rsidR="00E73CFD" w:rsidRDefault="00E73CFD" w:rsidP="00E73CFD">
      <w:pPr>
        <w:autoSpaceDE w:val="0"/>
        <w:autoSpaceDN w:val="0"/>
        <w:adjustRightInd w:val="0"/>
      </w:pPr>
    </w:p>
    <w:p w:rsidR="00E73CFD" w:rsidRDefault="00E73CFD" w:rsidP="00E73CFD">
      <w:pPr>
        <w:autoSpaceDE w:val="0"/>
        <w:autoSpaceDN w:val="0"/>
        <w:adjustRightInd w:val="0"/>
      </w:pPr>
      <w:r w:rsidRPr="006D3708">
        <w:rPr>
          <w:noProof/>
        </w:rPr>
        <w:pict>
          <v:shape id="_x0000_i1036" type="#_x0000_t75" style="width:369pt;height:189pt;visibility:visible">
            <v:imagedata r:id="rId30" o:title="" croptop="10923f" cropbottom="6104f" cropleft="8918f" cropright="3346f"/>
          </v:shape>
        </w:pic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Pr="003B7310" w:rsidRDefault="00E73CFD" w:rsidP="00E73CFD">
      <w:pPr>
        <w:autoSpaceDE w:val="0"/>
        <w:autoSpaceDN w:val="0"/>
        <w:adjustRightInd w:val="0"/>
        <w:rPr>
          <w:u w:val="single"/>
        </w:rPr>
      </w:pPr>
      <w:r w:rsidRPr="003B7310">
        <w:rPr>
          <w:u w:val="single"/>
        </w:rPr>
        <w:t>Figure 1.3.2 I</w:t>
      </w:r>
      <w:r>
        <w:rPr>
          <w:u w:val="single"/>
        </w:rPr>
        <w:t>I</w:t>
      </w:r>
      <w:r w:rsidRPr="003B7310">
        <w:rPr>
          <w:u w:val="single"/>
        </w:rPr>
        <w:t> : face</w:t>
      </w:r>
      <w:r>
        <w:rPr>
          <w:u w:val="single"/>
        </w:rPr>
        <w:t xml:space="preserve"> partiellement</w:t>
      </w:r>
      <w:r w:rsidRPr="003B7310">
        <w:rPr>
          <w:u w:val="single"/>
        </w:rPr>
        <w:t xml:space="preserve"> verticale</w:t>
      </w:r>
      <w:r>
        <w:rPr>
          <w:u w:val="single"/>
        </w:rPr>
        <w:t xml:space="preserve"> partiellement en pente</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r w:rsidRPr="00E73CFD">
        <w:rPr>
          <w:noProof/>
          <w:lang w:val="fr-FR"/>
        </w:rPr>
        <w:pict>
          <v:shape id="Image 4" o:spid="_x0000_i1037" type="#_x0000_t75" style="width:393.75pt;height:180.75pt;visibility:visible">
            <v:imagedata r:id="rId31" o:title="" croptop="7871f" cropbottom="11244f" cropleft="6201f" cropright="2532f"/>
          </v:shape>
        </w:pic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Pr="003B7310" w:rsidRDefault="00E73CFD" w:rsidP="00E73CFD">
      <w:pPr>
        <w:autoSpaceDE w:val="0"/>
        <w:autoSpaceDN w:val="0"/>
        <w:adjustRightInd w:val="0"/>
        <w:rPr>
          <w:u w:val="single"/>
        </w:rPr>
      </w:pPr>
      <w:r w:rsidRPr="003B7310">
        <w:rPr>
          <w:u w:val="single"/>
        </w:rPr>
        <w:t>Figure 1.3.2 I</w:t>
      </w:r>
      <w:r>
        <w:rPr>
          <w:u w:val="single"/>
        </w:rPr>
        <w:t>II</w:t>
      </w:r>
      <w:r w:rsidRPr="003B7310">
        <w:rPr>
          <w:u w:val="single"/>
        </w:rPr>
        <w:t xml:space="preserve"> : </w:t>
      </w:r>
      <w:r>
        <w:rPr>
          <w:u w:val="single"/>
        </w:rPr>
        <w:t>Traverse de double pente raide</w:t>
      </w:r>
    </w:p>
    <w:p w:rsidR="00E73CFD" w:rsidRPr="00646E26" w:rsidRDefault="00E73CFD" w:rsidP="00E73CFD">
      <w:pPr>
        <w:autoSpaceDE w:val="0"/>
        <w:autoSpaceDN w:val="0"/>
        <w:adjustRightInd w:val="0"/>
      </w:pPr>
    </w:p>
    <w:p w:rsidR="00E73CFD" w:rsidRPr="005C6485" w:rsidRDefault="00E73CFD" w:rsidP="00E73CFD">
      <w:pPr>
        <w:autoSpaceDE w:val="0"/>
        <w:autoSpaceDN w:val="0"/>
        <w:adjustRightInd w:val="0"/>
      </w:pPr>
      <w:r w:rsidRPr="006D3708">
        <w:rPr>
          <w:noProof/>
        </w:rPr>
        <w:pict>
          <v:shape id="_x0000_i1038" type="#_x0000_t75" style="width:374.25pt;height:164.25pt;visibility:visible">
            <v:imagedata r:id="rId32" o:title="" croptop="11244f" cropbottom="12207f" cropleft="7471f" cropright="3979f"/>
          </v:shape>
        </w:pict>
      </w:r>
    </w:p>
    <w:p w:rsidR="00E73CFD" w:rsidRDefault="00E73CFD" w:rsidP="00E73CFD">
      <w:pPr>
        <w:autoSpaceDE w:val="0"/>
        <w:autoSpaceDN w:val="0"/>
        <w:adjustRightInd w:val="0"/>
        <w:rPr>
          <w:lang w:val="fr-FR"/>
        </w:rPr>
      </w:pPr>
    </w:p>
    <w:p w:rsidR="00E73CFD" w:rsidRDefault="00D05B15" w:rsidP="00490F1C">
      <w:pPr>
        <w:pStyle w:val="Kop2"/>
        <w:numPr>
          <w:ilvl w:val="0"/>
          <w:numId w:val="0"/>
        </w:numPr>
        <w:ind w:left="709" w:hanging="709"/>
      </w:pPr>
      <w:bookmarkStart w:id="52" w:name="_Toc290882393"/>
      <w:bookmarkStart w:id="53" w:name="_Toc66895230"/>
      <w:bookmarkEnd w:id="51"/>
      <w:r>
        <w:t>4.4</w:t>
      </w:r>
      <w:r w:rsidR="008526B7">
        <w:tab/>
      </w:r>
      <w:r w:rsidR="00E73CFD">
        <w:t>Matériaux pour les merlons en terre et pour les couvertures des bâtiments</w:t>
      </w:r>
      <w:bookmarkEnd w:id="52"/>
      <w:bookmarkEnd w:id="53"/>
    </w:p>
    <w:p w:rsidR="00E73CFD" w:rsidRPr="0046101D" w:rsidRDefault="00E73CFD" w:rsidP="00E73CFD">
      <w:pPr>
        <w:rPr>
          <w:lang w:val="fr-FR"/>
        </w:rPr>
      </w:pPr>
    </w:p>
    <w:p w:rsidR="00E73CFD" w:rsidRDefault="00E73CFD" w:rsidP="00E73CFD">
      <w:pPr>
        <w:rPr>
          <w:lang w:val="fr-FR"/>
        </w:rPr>
      </w:pPr>
      <w:r>
        <w:rPr>
          <w:lang w:val="fr-FR"/>
        </w:rPr>
        <w:t xml:space="preserve">(Chapitre 2.3.3.3 du </w:t>
      </w:r>
      <w:r w:rsidRPr="00CE0CEC">
        <w:rPr>
          <w:lang w:val="fr-FR"/>
        </w:rPr>
        <w:t>Manuel sur les principes de sécurité OTAN applicables au stockage des munitions et des explosifs militaires (</w:t>
      </w:r>
      <w:r w:rsidR="004D2D69" w:rsidRPr="00CE0CEC">
        <w:rPr>
          <w:lang w:val="fr-FR"/>
        </w:rPr>
        <w:t xml:space="preserve">AASTP1, </w:t>
      </w:r>
      <w:r w:rsidR="004D2D69" w:rsidRPr="00490F1C">
        <w:rPr>
          <w:lang w:val="fr-FR"/>
        </w:rPr>
        <w:t>Edition B, Version1 décembre 2015</w:t>
      </w:r>
      <w:r w:rsidRPr="00490F1C">
        <w:rPr>
          <w:lang w:val="fr-FR"/>
        </w:rPr>
        <w:t>)</w:t>
      </w:r>
    </w:p>
    <w:p w:rsidR="00E73CFD" w:rsidRDefault="00E73CFD" w:rsidP="00E73CFD">
      <w:pPr>
        <w:rPr>
          <w:lang w:val="fr-FR"/>
        </w:rPr>
      </w:pPr>
    </w:p>
    <w:p w:rsidR="00E73CFD" w:rsidRPr="006A733B" w:rsidRDefault="00E73CFD" w:rsidP="00E222C8">
      <w:pPr>
        <w:numPr>
          <w:ilvl w:val="0"/>
          <w:numId w:val="5"/>
        </w:numPr>
        <w:autoSpaceDE w:val="0"/>
        <w:autoSpaceDN w:val="0"/>
        <w:adjustRightInd w:val="0"/>
        <w:ind w:left="480" w:hanging="480"/>
        <w:rPr>
          <w:lang w:val="fr-FR"/>
        </w:rPr>
      </w:pPr>
      <w:r w:rsidRPr="006A733B">
        <w:rPr>
          <w:lang w:val="fr-FR"/>
        </w:rPr>
        <w:t>La terre utilisée pour les merlons ou les couvertures de bâtiments doit être conforme aux exigences ci-dessous. Lorsque la terre est mélangée à du béton ou de la brique, sa capacité à stopper les éclats doit être considérée comme équivalente à celle d’une épaisseur de terre 4 fois supérieure. Le béton ou la brique peuvent être utilisés pour renforcer la terre, ou il peut s’agir des parties du toit et des murs d’un bâtiment destinées à intercepter les projections à grande vitesse.</w:t>
      </w:r>
    </w:p>
    <w:p w:rsidR="00E73CFD" w:rsidRPr="006A733B" w:rsidRDefault="00E73CFD" w:rsidP="00E73CFD">
      <w:pPr>
        <w:autoSpaceDE w:val="0"/>
        <w:autoSpaceDN w:val="0"/>
        <w:adjustRightInd w:val="0"/>
        <w:rPr>
          <w:lang w:val="fr-FR"/>
        </w:rPr>
      </w:pPr>
    </w:p>
    <w:p w:rsidR="00E73CFD" w:rsidRPr="006A733B" w:rsidRDefault="00E73CFD" w:rsidP="00E222C8">
      <w:pPr>
        <w:numPr>
          <w:ilvl w:val="0"/>
          <w:numId w:val="5"/>
        </w:numPr>
        <w:autoSpaceDE w:val="0"/>
        <w:autoSpaceDN w:val="0"/>
        <w:adjustRightInd w:val="0"/>
        <w:ind w:left="480" w:hanging="480"/>
        <w:rPr>
          <w:lang w:val="fr-FR"/>
        </w:rPr>
      </w:pPr>
      <w:r w:rsidRPr="006A733B">
        <w:rPr>
          <w:lang w:val="fr-FR"/>
        </w:rPr>
        <w:t>Il existe deux types de précautions à prendre lors de la construction de merlons en terre ou de la couverture de terre de bâtiments de stockage de munitions ou d’explosifs. Le premier type concerne les risques potentiels encourus par les autres munitions et le personnel au cas où le matériau serait dispersé par une explosion accidentelle dans le bâtiment confiné. Le second type concerne les précautions nécessaires pour assurer l’intégrité structurelle des merlons ou couvertures en terre.</w:t>
      </w:r>
    </w:p>
    <w:p w:rsidR="00E73CFD" w:rsidRPr="006A733B" w:rsidRDefault="00E73CFD" w:rsidP="00E73CFD">
      <w:pPr>
        <w:autoSpaceDE w:val="0"/>
        <w:autoSpaceDN w:val="0"/>
        <w:adjustRightInd w:val="0"/>
        <w:rPr>
          <w:lang w:val="fr-FR"/>
        </w:rPr>
      </w:pPr>
    </w:p>
    <w:p w:rsidR="00E73CFD" w:rsidRPr="006A733B" w:rsidRDefault="00E73CFD" w:rsidP="00E222C8">
      <w:pPr>
        <w:numPr>
          <w:ilvl w:val="0"/>
          <w:numId w:val="5"/>
        </w:numPr>
        <w:autoSpaceDE w:val="0"/>
        <w:autoSpaceDN w:val="0"/>
        <w:adjustRightInd w:val="0"/>
        <w:ind w:left="480" w:hanging="480"/>
        <w:rPr>
          <w:lang w:val="fr-FR"/>
        </w:rPr>
      </w:pPr>
      <w:r w:rsidRPr="006A733B">
        <w:rPr>
          <w:lang w:val="fr-FR"/>
        </w:rPr>
        <w:t>Il n’est pas nécessaire de tenir compte du premier type de précaution si on peut prévoir que le matériau ne sera pas dispersé par l’explosion supposée. C’est le cas si le merlon est situé au-delà du rayon du cratère. L’érosion de la surface supérieure par le souffle peut être négligée. Les dimensions du cratère d</w:t>
      </w:r>
      <w:r w:rsidR="001248BB">
        <w:rPr>
          <w:lang w:val="fr-FR"/>
        </w:rPr>
        <w:t>é</w:t>
      </w:r>
      <w:r w:rsidRPr="006A733B">
        <w:rPr>
          <w:lang w:val="fr-FR"/>
        </w:rPr>
        <w:t xml:space="preserve">pendent de la géométrie du stockage des explosifs, de la hauteur au-dessus du sol ou de la profondeur d’enfouissement, et de la nature du sol. Sauf lorsque la configuration est d’une asymétrie particulière, le rayon du cratère peut être raisonnablement estimé </w:t>
      </w:r>
      <w:r>
        <w:rPr>
          <w:lang w:val="fr-FR"/>
        </w:rPr>
        <w:t>au moyen de la formule suivante</w:t>
      </w:r>
      <w:r w:rsidR="00015031">
        <w:rPr>
          <w:lang w:val="fr-FR"/>
        </w:rPr>
        <w:t xml:space="preserve"> </w:t>
      </w:r>
      <w:r w:rsidRPr="006A733B">
        <w:rPr>
          <w:lang w:val="fr-FR"/>
        </w:rPr>
        <w:t>:</w:t>
      </w:r>
    </w:p>
    <w:p w:rsidR="00E73CFD" w:rsidRPr="006A733B" w:rsidRDefault="00E73CFD" w:rsidP="00E73CFD">
      <w:pPr>
        <w:autoSpaceDE w:val="0"/>
        <w:autoSpaceDN w:val="0"/>
        <w:adjustRightInd w:val="0"/>
        <w:rPr>
          <w:lang w:val="fr-FR"/>
        </w:rPr>
      </w:pPr>
    </w:p>
    <w:p w:rsidR="00E73CFD" w:rsidRPr="006A733B" w:rsidRDefault="00E73CFD" w:rsidP="00E73CFD">
      <w:pPr>
        <w:autoSpaceDE w:val="0"/>
        <w:autoSpaceDN w:val="0"/>
        <w:adjustRightInd w:val="0"/>
        <w:ind w:left="960"/>
        <w:rPr>
          <w:lang w:val="fr-FR"/>
        </w:rPr>
      </w:pPr>
      <w:r w:rsidRPr="006A733B">
        <w:rPr>
          <w:lang w:val="fr-FR"/>
        </w:rPr>
        <w:t>Rayon du cratère (m) = ½ (NEQ (kg))</w:t>
      </w:r>
      <w:r w:rsidRPr="00E602E0">
        <w:rPr>
          <w:vertAlign w:val="superscript"/>
          <w:lang w:val="fr-FR"/>
        </w:rPr>
        <w:t>1/3</w:t>
      </w:r>
    </w:p>
    <w:p w:rsidR="00E73CFD" w:rsidRPr="006A733B" w:rsidRDefault="00E73CFD" w:rsidP="00E73CFD">
      <w:pPr>
        <w:autoSpaceDE w:val="0"/>
        <w:autoSpaceDN w:val="0"/>
        <w:adjustRightInd w:val="0"/>
        <w:rPr>
          <w:lang w:val="fr-FR"/>
        </w:rPr>
      </w:pPr>
    </w:p>
    <w:p w:rsidR="00E73CFD" w:rsidRPr="006A733B" w:rsidRDefault="00E73CFD" w:rsidP="00E73CFD">
      <w:pPr>
        <w:autoSpaceDE w:val="0"/>
        <w:autoSpaceDN w:val="0"/>
        <w:adjustRightInd w:val="0"/>
        <w:ind w:left="480"/>
        <w:rPr>
          <w:lang w:val="fr-FR"/>
        </w:rPr>
      </w:pPr>
      <w:r w:rsidRPr="006A733B">
        <w:rPr>
          <w:lang w:val="fr-FR"/>
        </w:rPr>
        <w:t>Ce rayon se mesure à partir du centre des explosifs. Dans certaines conditions de sol (sol saturé ou argile), le cratère peut être plus grand que celui qu’indique la formule susmentionnée. Dans de telles conditions, il convient d’envisager d’augmenter les distances entre dépôts.</w:t>
      </w:r>
    </w:p>
    <w:p w:rsidR="00E73CFD" w:rsidRPr="006A733B" w:rsidRDefault="00E73CFD" w:rsidP="00E73CFD">
      <w:pPr>
        <w:autoSpaceDE w:val="0"/>
        <w:autoSpaceDN w:val="0"/>
        <w:adjustRightInd w:val="0"/>
        <w:rPr>
          <w:lang w:val="fr-FR"/>
        </w:rPr>
      </w:pPr>
    </w:p>
    <w:p w:rsidR="00E73CFD" w:rsidRDefault="00E73CFD" w:rsidP="00E222C8">
      <w:pPr>
        <w:numPr>
          <w:ilvl w:val="0"/>
          <w:numId w:val="5"/>
        </w:numPr>
        <w:autoSpaceDE w:val="0"/>
        <w:autoSpaceDN w:val="0"/>
        <w:adjustRightInd w:val="0"/>
        <w:ind w:left="480" w:hanging="480"/>
        <w:rPr>
          <w:lang w:val="fr-FR"/>
        </w:rPr>
      </w:pPr>
      <w:r w:rsidRPr="006A733B">
        <w:rPr>
          <w:lang w:val="fr-FR"/>
        </w:rPr>
        <w:t xml:space="preserve">Lorsqu’il est possible que le matériau soit dispersé par une explosion, des précautions doivent être prises pour réduire le risque que de grosses </w:t>
      </w:r>
      <w:smartTag w:uri="urn:schemas-microsoft-com:office:smarttags" w:element="City">
        <w:smartTag w:uri="urn:schemas-microsoft-com:office:smarttags" w:element="place">
          <w:r w:rsidRPr="006A733B">
            <w:rPr>
              <w:lang w:val="fr-FR"/>
            </w:rPr>
            <w:t>pierres</w:t>
          </w:r>
        </w:smartTag>
      </w:smartTag>
      <w:r w:rsidRPr="006A733B">
        <w:rPr>
          <w:lang w:val="fr-FR"/>
        </w:rPr>
        <w:t xml:space="preserve"> provoquent, par impact, la mise à feu de munitions ou d’explosifs de sites adjacents. Lorsque le site de stockage considéré se trouve à proximité d’une zone à forte densité de population, par exemple un groupe d’ateliers d’explosifs, il convient également de tenir compte du danger représenté par les chutes de pierre, etc. pour les membres du personnel. La sélection et l’utilisation du matériau doivent se faire en fonction des directives suivantes qui représentent un compromis raisonnable entre des risques excessifs et des coûts excessifs de con</w:t>
      </w:r>
      <w:r>
        <w:rPr>
          <w:lang w:val="fr-FR"/>
        </w:rPr>
        <w:t>struction</w:t>
      </w:r>
      <w:r w:rsidR="00015031">
        <w:rPr>
          <w:lang w:val="fr-FR"/>
        </w:rPr>
        <w:t xml:space="preserve"> </w:t>
      </w:r>
      <w:r w:rsidRPr="006A733B">
        <w:rPr>
          <w:lang w:val="fr-FR"/>
        </w:rPr>
        <w:t>:</w:t>
      </w:r>
    </w:p>
    <w:p w:rsidR="00E73CFD" w:rsidRPr="006A733B" w:rsidRDefault="00E73CFD" w:rsidP="00E73CFD">
      <w:pPr>
        <w:autoSpaceDE w:val="0"/>
        <w:autoSpaceDN w:val="0"/>
        <w:adjustRightInd w:val="0"/>
        <w:rPr>
          <w:lang w:val="fr-FR"/>
        </w:rPr>
      </w:pPr>
    </w:p>
    <w:p w:rsidR="00E73CFD" w:rsidRDefault="00E73CFD" w:rsidP="00E222C8">
      <w:pPr>
        <w:numPr>
          <w:ilvl w:val="1"/>
          <w:numId w:val="5"/>
        </w:numPr>
        <w:autoSpaceDE w:val="0"/>
        <w:autoSpaceDN w:val="0"/>
        <w:adjustRightInd w:val="0"/>
        <w:ind w:left="960"/>
        <w:rPr>
          <w:lang w:val="fr-FR"/>
        </w:rPr>
      </w:pPr>
      <w:r w:rsidRPr="006A733B">
        <w:rPr>
          <w:lang w:val="fr-FR"/>
        </w:rPr>
        <w:t>Ne pas utiliser délibérément les gravats provenant de bâtiments démolis.</w:t>
      </w:r>
    </w:p>
    <w:p w:rsidR="00E73CFD" w:rsidRPr="006A733B" w:rsidRDefault="00E73CFD" w:rsidP="00E73CFD">
      <w:pPr>
        <w:tabs>
          <w:tab w:val="num" w:pos="960"/>
        </w:tabs>
        <w:autoSpaceDE w:val="0"/>
        <w:autoSpaceDN w:val="0"/>
        <w:adjustRightInd w:val="0"/>
        <w:ind w:left="960"/>
        <w:rPr>
          <w:lang w:val="fr-FR"/>
        </w:rPr>
      </w:pPr>
    </w:p>
    <w:p w:rsidR="00E73CFD" w:rsidRDefault="00E73CFD" w:rsidP="00490F1C">
      <w:pPr>
        <w:numPr>
          <w:ilvl w:val="1"/>
          <w:numId w:val="5"/>
        </w:numPr>
        <w:tabs>
          <w:tab w:val="left" w:pos="720"/>
        </w:tabs>
        <w:autoSpaceDE w:val="0"/>
        <w:autoSpaceDN w:val="0"/>
        <w:adjustRightInd w:val="0"/>
        <w:ind w:left="993" w:hanging="393"/>
        <w:rPr>
          <w:lang w:val="fr-FR"/>
        </w:rPr>
      </w:pPr>
      <w:r w:rsidRPr="006A733B">
        <w:rPr>
          <w:lang w:val="fr-FR"/>
        </w:rPr>
        <w:t xml:space="preserve">Veiller à ce que les pierres de plus de </w:t>
      </w:r>
      <w:smartTag w:uri="urn:schemas-microsoft-com:office:smarttags" w:element="metricconverter">
        <w:smartTagPr>
          <w:attr w:name="ProductID" w:val="0.3 m"/>
        </w:smartTagPr>
        <w:r w:rsidRPr="006A733B">
          <w:rPr>
            <w:lang w:val="fr-FR"/>
          </w:rPr>
          <w:t>0.3 m</w:t>
        </w:r>
      </w:smartTag>
      <w:r w:rsidRPr="006A733B">
        <w:rPr>
          <w:lang w:val="fr-FR"/>
        </w:rPr>
        <w:t xml:space="preserve"> de circonférence (à peu près la taille du poing fermé d’un homme) soient retirées au cours de la construction. Les autres matériaux nuisibles doivent également être éliminés.</w:t>
      </w:r>
    </w:p>
    <w:p w:rsidR="00E73CFD" w:rsidRDefault="00E73CFD" w:rsidP="00E73CFD">
      <w:pPr>
        <w:tabs>
          <w:tab w:val="num" w:pos="960"/>
        </w:tabs>
        <w:autoSpaceDE w:val="0"/>
        <w:autoSpaceDN w:val="0"/>
        <w:adjustRightInd w:val="0"/>
        <w:ind w:left="960"/>
        <w:rPr>
          <w:lang w:val="fr-FR"/>
        </w:rPr>
      </w:pPr>
    </w:p>
    <w:p w:rsidR="00E73CFD" w:rsidRPr="006A733B" w:rsidRDefault="00E73CFD" w:rsidP="00E222C8">
      <w:pPr>
        <w:numPr>
          <w:ilvl w:val="1"/>
          <w:numId w:val="5"/>
        </w:numPr>
        <w:autoSpaceDE w:val="0"/>
        <w:autoSpaceDN w:val="0"/>
        <w:adjustRightInd w:val="0"/>
        <w:ind w:left="960"/>
        <w:rPr>
          <w:lang w:val="fr-FR"/>
        </w:rPr>
      </w:pPr>
      <w:r w:rsidRPr="006A733B">
        <w:rPr>
          <w:lang w:val="fr-FR"/>
        </w:rPr>
        <w:t>Sous les climats où le sol gèle fréquemment, envisager d’inclure un système de couverture imperméable sur le matériau ou un dispositif de drainage pour éviter toute humidité excessive.</w:t>
      </w:r>
    </w:p>
    <w:p w:rsidR="00E73CFD" w:rsidRPr="006A733B" w:rsidRDefault="00E73CFD" w:rsidP="00E73CFD">
      <w:pPr>
        <w:autoSpaceDE w:val="0"/>
        <w:autoSpaceDN w:val="0"/>
        <w:adjustRightInd w:val="0"/>
        <w:rPr>
          <w:lang w:val="fr-FR"/>
        </w:rPr>
      </w:pPr>
    </w:p>
    <w:p w:rsidR="00E73CFD" w:rsidRDefault="00E73CFD" w:rsidP="00E222C8">
      <w:pPr>
        <w:numPr>
          <w:ilvl w:val="0"/>
          <w:numId w:val="5"/>
        </w:numPr>
        <w:autoSpaceDE w:val="0"/>
        <w:autoSpaceDN w:val="0"/>
        <w:adjustRightInd w:val="0"/>
        <w:ind w:left="480" w:hanging="480"/>
        <w:rPr>
          <w:lang w:val="fr-FR"/>
        </w:rPr>
      </w:pPr>
      <w:r w:rsidRPr="006A733B">
        <w:rPr>
          <w:lang w:val="fr-FR"/>
        </w:rPr>
        <w:t>Le deuxième type de précaution mentionné à l’alinéa b) ci-dessus concerne l’intégrité structurelle et s’applique à tous les cas. Le matériau doit être raisonnablement cohésif et débarrassé de toute quantité excessive de déchets ou de matières organiques nuisibles. Le compactage et la préparation de la surface doivent être prévus le cas échéant pour maintenir l’intégrité structurelle et éviter l’érosion. Lorsqu’il est impossible d’utiliser un matériau cohésif, par exemple, sur un site situé dans un désert de sable, les travaux de terrassement doivent se finir par une couche de sol cohésif ou un revêtement artificiel. A contrario, il convient également d’éviter d’utiliser de l’argile humide solide au cours de la construction, car ce matériau est trop cohésif et pourrait induire des risques excessifs de projection de débris.</w:t>
      </w:r>
    </w:p>
    <w:p w:rsidR="00E73CFD" w:rsidRDefault="00E73CFD" w:rsidP="00E73CFD">
      <w:pPr>
        <w:autoSpaceDE w:val="0"/>
        <w:autoSpaceDN w:val="0"/>
        <w:adjustRightInd w:val="0"/>
        <w:rPr>
          <w:lang w:val="fr-FR"/>
        </w:rPr>
      </w:pPr>
    </w:p>
    <w:p w:rsidR="00E73CFD" w:rsidRDefault="00E73CFD" w:rsidP="00E73CFD">
      <w:pPr>
        <w:autoSpaceDE w:val="0"/>
        <w:autoSpaceDN w:val="0"/>
        <w:adjustRightInd w:val="0"/>
        <w:rPr>
          <w:lang w:val="fr-FR"/>
        </w:rPr>
      </w:pPr>
    </w:p>
    <w:p w:rsidR="00E73CFD" w:rsidRPr="0072586C" w:rsidRDefault="00E73CFD" w:rsidP="00E73CFD">
      <w:pPr>
        <w:jc w:val="center"/>
        <w:rPr>
          <w:lang w:val="fr-FR"/>
        </w:rPr>
      </w:pPr>
    </w:p>
    <w:p w:rsidR="00E73CFD" w:rsidRDefault="00E73CFD" w:rsidP="00E73CFD">
      <w:pPr>
        <w:rPr>
          <w:lang w:val="fr-FR"/>
        </w:rPr>
      </w:pPr>
    </w:p>
    <w:p w:rsidR="00E73CFD" w:rsidRDefault="00E73CFD" w:rsidP="00E73CFD"/>
    <w:p w:rsidR="00C22512" w:rsidRPr="007B12CF" w:rsidRDefault="00FD0A12" w:rsidP="0046101D">
      <w:pPr>
        <w:rPr>
          <w:lang w:eastAsia="fr-FR"/>
        </w:rPr>
      </w:pPr>
      <w:bookmarkStart w:id="54" w:name="_Principes_généraux"/>
      <w:bookmarkEnd w:id="54"/>
      <w:r>
        <w:rPr>
          <w:noProof/>
          <w:lang w:val="nl-NL" w:eastAsia="nl-NL"/>
        </w:rPr>
        <w:pict>
          <v:rect id="_x0000_s1059" style="position:absolute;left:0;text-align:left;margin-left:-19.15pt;margin-top:700.7pt;width:489.75pt;height:24.75pt;z-index:8" stroked="f"/>
        </w:pict>
      </w:r>
      <w:r w:rsidR="0046101D">
        <w:rPr>
          <w:lang w:val="fr-FR"/>
        </w:rPr>
        <w:br w:type="page"/>
      </w:r>
      <w:r w:rsidR="00961728">
        <w:pict>
          <v:shape id="_x0000_i1039" type="#_x0000_t75" style="width:450pt;height:180pt">
            <v:imagedata r:id="rId20" o:title="DSCN0364"/>
          </v:shape>
        </w:pict>
      </w:r>
    </w:p>
    <w:p w:rsidR="00C22512" w:rsidRDefault="00D05B15" w:rsidP="00D05B15">
      <w:pPr>
        <w:pStyle w:val="Kop1"/>
        <w:numPr>
          <w:ilvl w:val="0"/>
          <w:numId w:val="0"/>
        </w:numPr>
        <w:ind w:left="720"/>
      </w:pPr>
      <w:bookmarkStart w:id="55" w:name="_Toc279158372"/>
      <w:bookmarkStart w:id="56" w:name="_Toc66895231"/>
      <w:r w:rsidRPr="00D05B15">
        <w:rPr>
          <w:sz w:val="96"/>
          <w:szCs w:val="96"/>
        </w:rPr>
        <w:t>5</w:t>
      </w:r>
      <w:r w:rsidR="0046101D">
        <w:br/>
      </w:r>
      <w:r w:rsidR="00C22512" w:rsidRPr="007B12CF">
        <w:t>Check-list</w:t>
      </w:r>
      <w:r w:rsidR="00575888">
        <w:t>s</w:t>
      </w:r>
      <w:r w:rsidR="00C22512" w:rsidRPr="007B12CF">
        <w:t xml:space="preserve"> </w:t>
      </w:r>
      <w:r w:rsidR="00894800" w:rsidRPr="007B12CF">
        <w:t xml:space="preserve">pour le stockage </w:t>
      </w:r>
      <w:bookmarkEnd w:id="55"/>
      <w:r w:rsidR="00F646D6">
        <w:t>d</w:t>
      </w:r>
      <w:r w:rsidR="00437273">
        <w:t>e</w:t>
      </w:r>
      <w:r w:rsidR="001248BB">
        <w:t>s</w:t>
      </w:r>
      <w:r w:rsidR="00437273">
        <w:t xml:space="preserve"> explosi</w:t>
      </w:r>
      <w:r>
        <w:t>ble</w:t>
      </w:r>
      <w:r w:rsidR="00437273">
        <w:t>s</w:t>
      </w:r>
      <w:bookmarkEnd w:id="56"/>
    </w:p>
    <w:p w:rsidR="00575888" w:rsidRDefault="00575888" w:rsidP="00575888"/>
    <w:p w:rsidR="00575888" w:rsidRDefault="00575888" w:rsidP="00575888"/>
    <w:p w:rsidR="00843C36" w:rsidRDefault="00843C36" w:rsidP="00575888"/>
    <w:p w:rsidR="00843C36" w:rsidRPr="00906B1A" w:rsidRDefault="00843C36" w:rsidP="00843C36">
      <w:r w:rsidRPr="00906B1A">
        <w:t>L’outil d’inspection se présente sous la forme d</w:t>
      </w:r>
      <w:r>
        <w:t>’un</w:t>
      </w:r>
      <w:r w:rsidRPr="00906B1A">
        <w:t xml:space="preserve"> </w:t>
      </w:r>
      <w:r>
        <w:t>tableau</w:t>
      </w:r>
      <w:r w:rsidRPr="00906B1A">
        <w:t>.</w:t>
      </w:r>
    </w:p>
    <w:p w:rsidR="00843C36" w:rsidRPr="00906B1A" w:rsidRDefault="00843C36" w:rsidP="00843C36"/>
    <w:p w:rsidR="00D15C53" w:rsidRDefault="00843C36" w:rsidP="00843C36">
      <w:r>
        <w:t>Il se compose de 2 parties : une check-list « administrative » et une check-list «</w:t>
      </w:r>
      <w:r w:rsidR="00D15C53">
        <w:t xml:space="preserve"> </w:t>
      </w:r>
      <w:r>
        <w:t xml:space="preserve">sur site ». La première partie permet donc de contrôler une série de </w:t>
      </w:r>
      <w:r w:rsidR="00D15C53">
        <w:t>mesures</w:t>
      </w:r>
      <w:r>
        <w:t xml:space="preserve"> dans les bureaux : les autorisations en cours, les procédures et instructions, l</w:t>
      </w:r>
      <w:r w:rsidR="00D15C53">
        <w:t>es</w:t>
      </w:r>
      <w:r>
        <w:t xml:space="preserve"> formation</w:t>
      </w:r>
      <w:r w:rsidR="00D15C53">
        <w:t>s</w:t>
      </w:r>
      <w:r w:rsidR="005E6C7D">
        <w:t>, …</w:t>
      </w:r>
    </w:p>
    <w:p w:rsidR="00843C36" w:rsidRDefault="00843C36" w:rsidP="00843C36">
      <w:r>
        <w:br/>
        <w:t xml:space="preserve">La seconde partie a été développée afin de </w:t>
      </w:r>
      <w:r w:rsidR="00D15C53">
        <w:t>soutenir</w:t>
      </w:r>
      <w:r>
        <w:t xml:space="preserve"> les vérifications sur le terrain. </w:t>
      </w:r>
      <w:r w:rsidR="00D15C53">
        <w:t xml:space="preserve">Elle </w:t>
      </w:r>
      <w:r>
        <w:t>vise aussi-bien l’intérieur du dépôt que ses abords.</w:t>
      </w:r>
    </w:p>
    <w:p w:rsidR="00843C36" w:rsidRDefault="00843C36" w:rsidP="00843C36"/>
    <w:p w:rsidR="00843C36" w:rsidRPr="00906B1A" w:rsidRDefault="00843C36" w:rsidP="00843C36">
      <w:r>
        <w:t>Dans chacune de ces check-lists, les différentes mesures de sécurité listées permettent de réduire les risques tels que l’Incendie (I), l’Explosion (E), la Contamination (C), le Vol/malveillance (V) et le risque de blessure, voire de mort, des Travailleurs (T). Ces risques sont identifiés dans les 5 dernières colonnes.</w:t>
      </w:r>
      <w:r w:rsidDel="00384ECA">
        <w:t xml:space="preserve"> </w:t>
      </w:r>
      <w:r>
        <w:t>Dans le cas d’une mesure générale (autorisation, formation, …), aucun risque spécifique n’est coché.</w:t>
      </w:r>
    </w:p>
    <w:p w:rsidR="001A6DF9" w:rsidRDefault="001A6DF9" w:rsidP="009D7399">
      <w:pPr>
        <w:jc w:val="left"/>
      </w:pPr>
    </w:p>
    <w:p w:rsidR="002C1C25" w:rsidRDefault="002C1C25" w:rsidP="009D7399">
      <w:pPr>
        <w:jc w:val="left"/>
      </w:pPr>
    </w:p>
    <w:p w:rsidR="002C1C25" w:rsidRDefault="002C1C25" w:rsidP="009D7399">
      <w:pPr>
        <w:jc w:val="left"/>
        <w:sectPr w:rsidR="002C1C25" w:rsidSect="00D03E4A">
          <w:footerReference w:type="default" r:id="rId33"/>
          <w:pgSz w:w="11907" w:h="16840" w:code="9"/>
          <w:pgMar w:top="1418" w:right="1418" w:bottom="1418" w:left="1418" w:header="709" w:footer="709" w:gutter="0"/>
          <w:cols w:space="708"/>
          <w:docGrid w:linePitch="360"/>
        </w:sectPr>
      </w:pPr>
    </w:p>
    <w:p w:rsidR="001A6DF9" w:rsidRDefault="001A6DF9" w:rsidP="009D7399">
      <w:pPr>
        <w:jc w:val="left"/>
      </w:pPr>
    </w:p>
    <w:p w:rsidR="002C1C25" w:rsidRDefault="002C1C25" w:rsidP="009D7399">
      <w:pPr>
        <w:jc w:val="left"/>
      </w:pPr>
    </w:p>
    <w:tbl>
      <w:tblPr>
        <w:tblW w:w="1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402"/>
        <w:gridCol w:w="402"/>
        <w:gridCol w:w="402"/>
        <w:gridCol w:w="5558"/>
        <w:gridCol w:w="2044"/>
        <w:gridCol w:w="402"/>
        <w:gridCol w:w="402"/>
        <w:gridCol w:w="402"/>
        <w:gridCol w:w="402"/>
        <w:gridCol w:w="402"/>
      </w:tblGrid>
      <w:tr w:rsidR="00F12CCF" w:rsidRPr="001D76F3" w:rsidTr="00CD31FB">
        <w:trPr>
          <w:tblHeader/>
        </w:trPr>
        <w:tc>
          <w:tcPr>
            <w:tcW w:w="2870" w:type="dxa"/>
            <w:shd w:val="clear" w:color="auto" w:fill="D9D9D9"/>
          </w:tcPr>
          <w:p w:rsidR="00F12CCF" w:rsidRPr="00CD31FB" w:rsidRDefault="00F12CCF" w:rsidP="00F12CCF">
            <w:pPr>
              <w:rPr>
                <w:rFonts w:ascii="Times New Roman" w:hAnsi="Times New Roman"/>
                <w:b/>
              </w:rPr>
            </w:pPr>
            <w:proofErr w:type="spellStart"/>
            <w:r w:rsidRPr="00CD31FB">
              <w:rPr>
                <w:rFonts w:ascii="Times New Roman" w:hAnsi="Times New Roman"/>
                <w:b/>
              </w:rPr>
              <w:t>Elements</w:t>
            </w:r>
            <w:proofErr w:type="spellEnd"/>
            <w:r w:rsidRPr="00CD31FB">
              <w:rPr>
                <w:rFonts w:ascii="Times New Roman" w:hAnsi="Times New Roman"/>
                <w:b/>
              </w:rPr>
              <w:t xml:space="preserve"> clés</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OK</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NOK</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PDA</w:t>
            </w:r>
          </w:p>
        </w:tc>
        <w:tc>
          <w:tcPr>
            <w:tcW w:w="5558"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Remarques</w:t>
            </w:r>
          </w:p>
        </w:tc>
        <w:tc>
          <w:tcPr>
            <w:tcW w:w="2044"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Références</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I</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E</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C</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V</w:t>
            </w:r>
          </w:p>
        </w:tc>
        <w:tc>
          <w:tcPr>
            <w:tcW w:w="402" w:type="dxa"/>
            <w:shd w:val="clear" w:color="auto" w:fill="D9D9D9"/>
          </w:tcPr>
          <w:p w:rsidR="00F12CCF" w:rsidRPr="00CD31FB" w:rsidRDefault="00F12CCF" w:rsidP="00F12CCF">
            <w:pPr>
              <w:rPr>
                <w:rFonts w:ascii="Times New Roman" w:hAnsi="Times New Roman"/>
                <w:b/>
              </w:rPr>
            </w:pPr>
            <w:r w:rsidRPr="00CD31FB">
              <w:rPr>
                <w:rFonts w:ascii="Times New Roman" w:hAnsi="Times New Roman"/>
                <w:b/>
              </w:rPr>
              <w:t>T</w:t>
            </w:r>
          </w:p>
        </w:tc>
      </w:tr>
      <w:tr w:rsidR="00F12CCF" w:rsidRPr="00C735CB"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 AUTORISATION/PERMIS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CD31FB" w:rsidTr="00CD31FB">
        <w:trPr>
          <w:trHeight w:val="3268"/>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L'existence d’un permis régional et d’une autorisation fédérale, les modifications, les dates de validité, les PV de mise en service.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Permis Original :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Modification éventuelle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Date de validité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PV de réception : </w:t>
            </w:r>
          </w:p>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Autorisation provinciale : arrêté royal du 23 septembre 1958 art. 7 et art. 27 (PV mise en service).</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Permis d’environnement :</w:t>
            </w:r>
          </w:p>
          <w:p w:rsidR="00F12CCF" w:rsidRPr="00CD31FB" w:rsidRDefault="00F12CCF" w:rsidP="00F12CCF">
            <w:pPr>
              <w:rPr>
                <w:rFonts w:ascii="Times New Roman" w:hAnsi="Times New Roman"/>
              </w:rPr>
            </w:pPr>
            <w:r w:rsidRPr="00CD31FB">
              <w:rPr>
                <w:rFonts w:ascii="Times New Roman" w:hAnsi="Times New Roman"/>
              </w:rPr>
              <w:t>Décret du 11 mars 1999 relatif au permis d'environnement (SPW).</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Ordonnance du 5 juin 1997 relative aux permis d'environnement (RBC).</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fixant les dispositions générales et sectorielles en matière d'hygiène de l'environnement (VLAREM II) (RF).</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lang w:val="nl-NL"/>
              </w:rPr>
            </w:pPr>
            <w:r w:rsidRPr="00CD31FB">
              <w:rPr>
                <w:rFonts w:ascii="Times New Roman" w:hAnsi="Times New Roman"/>
                <w:lang w:val="nl-BE"/>
              </w:rPr>
              <w:t>Besluit van de Vlaamse Regering van 27 november 2015 tot uitvoering van het decreet van 25 april 2014 betreffende de omgevingsvergunning</w:t>
            </w:r>
          </w:p>
          <w:p w:rsidR="00F12CCF" w:rsidRPr="00CD31FB" w:rsidRDefault="00F12CCF" w:rsidP="00F12CCF">
            <w:pPr>
              <w:rPr>
                <w:rFonts w:ascii="Times New Roman" w:hAnsi="Times New Roman"/>
                <w:lang w:val="nl-NL"/>
              </w:rPr>
            </w:pPr>
          </w:p>
          <w:p w:rsidR="00F12CCF" w:rsidRPr="00CD31FB" w:rsidRDefault="00F12CCF" w:rsidP="00F12CCF">
            <w:pPr>
              <w:rPr>
                <w:rFonts w:ascii="Times New Roman" w:hAnsi="Times New Roman"/>
                <w:lang w:val="nl-NL"/>
              </w:rPr>
            </w:pPr>
          </w:p>
        </w:tc>
        <w:tc>
          <w:tcPr>
            <w:tcW w:w="402" w:type="dxa"/>
            <w:shd w:val="clear" w:color="auto" w:fill="auto"/>
          </w:tcPr>
          <w:p w:rsidR="00F12CCF" w:rsidRPr="00CD31FB" w:rsidRDefault="00F12CCF" w:rsidP="00F12CCF">
            <w:pPr>
              <w:rPr>
                <w:rFonts w:ascii="Times New Roman" w:hAnsi="Times New Roman"/>
                <w:lang w:val="nl-NL"/>
              </w:rPr>
            </w:pPr>
          </w:p>
        </w:tc>
        <w:tc>
          <w:tcPr>
            <w:tcW w:w="402" w:type="dxa"/>
            <w:shd w:val="clear" w:color="auto" w:fill="auto"/>
          </w:tcPr>
          <w:p w:rsidR="00F12CCF" w:rsidRPr="00CD31FB" w:rsidRDefault="00F12CCF" w:rsidP="00F12CCF">
            <w:pPr>
              <w:rPr>
                <w:rFonts w:ascii="Times New Roman" w:hAnsi="Times New Roman"/>
                <w:lang w:val="nl-NL"/>
              </w:rPr>
            </w:pPr>
          </w:p>
        </w:tc>
        <w:tc>
          <w:tcPr>
            <w:tcW w:w="402" w:type="dxa"/>
            <w:shd w:val="clear" w:color="auto" w:fill="auto"/>
          </w:tcPr>
          <w:p w:rsidR="00F12CCF" w:rsidRPr="00CD31FB" w:rsidRDefault="00F12CCF" w:rsidP="00F12CCF">
            <w:pPr>
              <w:rPr>
                <w:rFonts w:ascii="Times New Roman" w:hAnsi="Times New Roman"/>
                <w:lang w:val="nl-NL"/>
              </w:rPr>
            </w:pPr>
          </w:p>
        </w:tc>
        <w:tc>
          <w:tcPr>
            <w:tcW w:w="402" w:type="dxa"/>
            <w:shd w:val="clear" w:color="auto" w:fill="auto"/>
          </w:tcPr>
          <w:p w:rsidR="00F12CCF" w:rsidRPr="00CD31FB" w:rsidRDefault="00F12CCF" w:rsidP="00F12CCF">
            <w:pPr>
              <w:rPr>
                <w:rFonts w:ascii="Times New Roman" w:hAnsi="Times New Roman"/>
                <w:lang w:val="nl-NL"/>
              </w:rPr>
            </w:pPr>
          </w:p>
        </w:tc>
        <w:tc>
          <w:tcPr>
            <w:tcW w:w="402" w:type="dxa"/>
            <w:shd w:val="clear" w:color="auto" w:fill="auto"/>
          </w:tcPr>
          <w:p w:rsidR="00F12CCF" w:rsidRPr="00CD31FB" w:rsidRDefault="00F12CCF" w:rsidP="00F12CCF">
            <w:pPr>
              <w:rPr>
                <w:rFonts w:ascii="Times New Roman" w:hAnsi="Times New Roman"/>
                <w:lang w:val="nl-NL"/>
              </w:rPr>
            </w:pPr>
          </w:p>
        </w:tc>
      </w:tr>
      <w:tr w:rsidR="00F12CCF" w:rsidRPr="001E108F"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Produits stockés :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classe 1, danger</w:t>
            </w:r>
          </w:p>
          <w:p w:rsidR="00F12CCF" w:rsidRPr="00CD31FB" w:rsidRDefault="00F12CCF" w:rsidP="00F12CCF">
            <w:pPr>
              <w:rPr>
                <w:rFonts w:ascii="Times New Roman" w:hAnsi="Times New Roman"/>
              </w:rPr>
            </w:pPr>
            <w:r w:rsidRPr="00CD31FB">
              <w:rPr>
                <w:rFonts w:ascii="Times New Roman" w:hAnsi="Times New Roman"/>
              </w:rPr>
              <w:t xml:space="preserve">   □ 1.1</w:t>
            </w:r>
          </w:p>
          <w:p w:rsidR="00F12CCF" w:rsidRPr="00CD31FB" w:rsidRDefault="00F12CCF" w:rsidP="00F12CCF">
            <w:pPr>
              <w:rPr>
                <w:rFonts w:ascii="Times New Roman" w:hAnsi="Times New Roman"/>
              </w:rPr>
            </w:pPr>
            <w:r w:rsidRPr="00CD31FB">
              <w:rPr>
                <w:rFonts w:ascii="Times New Roman" w:hAnsi="Times New Roman"/>
              </w:rPr>
              <w:t xml:space="preserve">   □ 1.2</w:t>
            </w:r>
          </w:p>
          <w:p w:rsidR="00F12CCF" w:rsidRPr="00CD31FB" w:rsidRDefault="00F12CCF" w:rsidP="00F12CCF">
            <w:pPr>
              <w:rPr>
                <w:rFonts w:ascii="Times New Roman" w:hAnsi="Times New Roman"/>
              </w:rPr>
            </w:pPr>
            <w:r w:rsidRPr="00CD31FB">
              <w:rPr>
                <w:rFonts w:ascii="Times New Roman" w:hAnsi="Times New Roman"/>
              </w:rPr>
              <w:t xml:space="preserve">   □ 1.3</w:t>
            </w:r>
          </w:p>
          <w:p w:rsidR="00F12CCF" w:rsidRPr="00CD31FB" w:rsidRDefault="00F12CCF" w:rsidP="00F12CCF">
            <w:pPr>
              <w:rPr>
                <w:rFonts w:ascii="Times New Roman" w:hAnsi="Times New Roman"/>
              </w:rPr>
            </w:pPr>
            <w:r w:rsidRPr="00CD31FB">
              <w:rPr>
                <w:rFonts w:ascii="Times New Roman" w:hAnsi="Times New Roman"/>
              </w:rPr>
              <w:t xml:space="preserve">   □ 1.4</w:t>
            </w:r>
          </w:p>
          <w:p w:rsidR="00F12CCF" w:rsidRPr="00CD31FB" w:rsidRDefault="00F12CCF" w:rsidP="00F12CCF">
            <w:pPr>
              <w:rPr>
                <w:rFonts w:ascii="Times New Roman" w:hAnsi="Times New Roman"/>
              </w:rPr>
            </w:pPr>
            <w:r w:rsidRPr="00CD31FB">
              <w:rPr>
                <w:rFonts w:ascii="Times New Roman" w:hAnsi="Times New Roman"/>
              </w:rPr>
              <w:t xml:space="preserve">   □ 1.5</w:t>
            </w:r>
          </w:p>
          <w:p w:rsidR="00F12CCF" w:rsidRPr="00CD31FB" w:rsidRDefault="00F12CCF" w:rsidP="00F12CCF">
            <w:pPr>
              <w:rPr>
                <w:rFonts w:ascii="Times New Roman" w:hAnsi="Times New Roman"/>
              </w:rPr>
            </w:pPr>
            <w:r w:rsidRPr="00CD31FB">
              <w:rPr>
                <w:rFonts w:ascii="Times New Roman" w:hAnsi="Times New Roman"/>
              </w:rPr>
              <w:t xml:space="preserve">   □ 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désensibilisées (classes 4.1D, 4.1DT, 3D et catégories 1, 2, 3, 4).</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émulsions, gels (UN 3375)..</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autres produits dangereux (classe 5.1, classe 3 - classe 4).</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Quantités :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Groupe de compatibilité : </w:t>
            </w: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Existence d’un plan du site avec la localisation des différents dépôts et des zones de stationnement des camions.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Date de mise à jour :</w:t>
            </w:r>
          </w:p>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C735CB"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2. PERSONNEL ET FORMATION</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Del="00234930"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942526" w:rsidTr="00CD31FB">
        <w:trPr>
          <w:trHeight w:val="106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d’un plan de formation du personnel :</w:t>
            </w:r>
          </w:p>
          <w:p w:rsidR="00F12CCF" w:rsidRPr="00CD31FB" w:rsidRDefault="00F12CCF" w:rsidP="00F12CCF">
            <w:pPr>
              <w:rPr>
                <w:rFonts w:ascii="Times New Roman" w:hAnsi="Times New Roman"/>
              </w:rPr>
            </w:pPr>
            <w:r w:rsidRPr="00CD31FB">
              <w:rPr>
                <w:rFonts w:ascii="Times New Roman" w:hAnsi="Times New Roman"/>
              </w:rPr>
              <w:t>- formation initiale,</w:t>
            </w:r>
          </w:p>
          <w:p w:rsidR="00F12CCF" w:rsidRPr="00CD31FB" w:rsidRDefault="00F12CCF" w:rsidP="00F12CCF">
            <w:pPr>
              <w:rPr>
                <w:rFonts w:ascii="Times New Roman" w:hAnsi="Times New Roman"/>
              </w:rPr>
            </w:pPr>
            <w:r w:rsidRPr="00CD31FB">
              <w:rPr>
                <w:rFonts w:ascii="Times New Roman" w:hAnsi="Times New Roman"/>
              </w:rPr>
              <w:t>- formations continues (fréquences déterminées).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Contenu de ces formations : </w:t>
            </w:r>
          </w:p>
          <w:p w:rsidR="00F12CCF" w:rsidRPr="00CD31FB" w:rsidRDefault="00F12CCF" w:rsidP="00CD31FB">
            <w:pPr>
              <w:ind w:left="22"/>
              <w:rPr>
                <w:rFonts w:ascii="Times New Roman" w:hAnsi="Times New Roman"/>
              </w:rPr>
            </w:pPr>
            <w:r w:rsidRPr="00CD31FB">
              <w:rPr>
                <w:rFonts w:ascii="Times New Roman" w:hAnsi="Times New Roman"/>
              </w:rPr>
              <w:t>- dangers et risques des produits,</w:t>
            </w:r>
          </w:p>
          <w:p w:rsidR="00F12CCF" w:rsidRPr="00CD31FB" w:rsidRDefault="00F12CCF" w:rsidP="00CD31FB">
            <w:pPr>
              <w:ind w:left="22"/>
              <w:rPr>
                <w:rFonts w:ascii="Times New Roman" w:hAnsi="Times New Roman"/>
              </w:rPr>
            </w:pPr>
            <w:r w:rsidRPr="00CD31FB">
              <w:rPr>
                <w:rFonts w:ascii="Times New Roman" w:hAnsi="Times New Roman"/>
              </w:rPr>
              <w:t>- instructions de travail,</w:t>
            </w:r>
          </w:p>
          <w:p w:rsidR="00F12CCF" w:rsidRPr="00CD31FB" w:rsidRDefault="00F12CCF" w:rsidP="00CD31FB">
            <w:pPr>
              <w:ind w:left="22"/>
              <w:rPr>
                <w:rFonts w:ascii="Times New Roman" w:hAnsi="Times New Roman"/>
              </w:rPr>
            </w:pPr>
            <w:r w:rsidRPr="00CD31FB">
              <w:rPr>
                <w:rFonts w:ascii="Times New Roman" w:hAnsi="Times New Roman"/>
              </w:rPr>
              <w:t xml:space="preserve"> -plan d’urgence,</w:t>
            </w:r>
          </w:p>
          <w:p w:rsidR="00F12CCF" w:rsidRPr="00CD31FB" w:rsidRDefault="00F12CCF" w:rsidP="00CD31FB">
            <w:pPr>
              <w:ind w:left="22"/>
              <w:rPr>
                <w:rFonts w:ascii="Times New Roman" w:hAnsi="Times New Roman"/>
              </w:rPr>
            </w:pPr>
            <w:r w:rsidRPr="00CD31FB">
              <w:rPr>
                <w:rFonts w:ascii="Times New Roman" w:hAnsi="Times New Roman"/>
              </w:rPr>
              <w:t>- engins de manutention.</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IATG 01.90 Compétences du personnel de gestion des munitions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royal du 23 septembre 1958, art 57 (directeur technique agréé).</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Conseiller à la sécurité pour le transport de marchandises dangereuses (Arrêté royal du 5 juillet 2006).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royal du 23 septembre 1958, art.227 et 243 (agent désigné).</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gouvernement flamand du 1er juin 1995 fixant les dispositions générales et sectorielles en matière d'hygiène de l'environnement (VLAREM II).</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Conditions spécifiques d'employabilité : </w:t>
            </w:r>
          </w:p>
          <w:p w:rsidR="00F12CCF" w:rsidRPr="00CD31FB" w:rsidRDefault="00F12CCF" w:rsidP="00F12CCF">
            <w:pPr>
              <w:rPr>
                <w:rFonts w:ascii="Times New Roman" w:hAnsi="Times New Roman"/>
              </w:rPr>
            </w:pPr>
            <w:r w:rsidRPr="00CD31FB">
              <w:rPr>
                <w:rFonts w:ascii="Times New Roman" w:hAnsi="Times New Roman"/>
              </w:rPr>
              <w:t>- désignation d’un directeur technique agréé (uniquement pour les fabriques),</w:t>
            </w:r>
          </w:p>
          <w:p w:rsidR="00F12CCF" w:rsidRPr="00CD31FB" w:rsidRDefault="00F12CCF" w:rsidP="00F12CCF">
            <w:pPr>
              <w:rPr>
                <w:rFonts w:ascii="Times New Roman" w:hAnsi="Times New Roman"/>
              </w:rPr>
            </w:pPr>
            <w:r w:rsidRPr="00CD31FB">
              <w:rPr>
                <w:rFonts w:ascii="Times New Roman" w:hAnsi="Times New Roman"/>
              </w:rPr>
              <w:t>- désignation d’un conseiller en prévention</w:t>
            </w:r>
          </w:p>
          <w:p w:rsidR="00F12CCF" w:rsidRPr="00CD31FB" w:rsidRDefault="00F12CCF" w:rsidP="00F12CCF">
            <w:pPr>
              <w:rPr>
                <w:rFonts w:ascii="Times New Roman" w:hAnsi="Times New Roman"/>
              </w:rPr>
            </w:pPr>
            <w:r w:rsidRPr="00CD31FB">
              <w:rPr>
                <w:rFonts w:ascii="Times New Roman" w:hAnsi="Times New Roman"/>
              </w:rPr>
              <w:t>- désignation d’un conseiller à la sécurité au transport.</w:t>
            </w:r>
          </w:p>
          <w:p w:rsidR="00F12CCF" w:rsidRPr="00CD31FB" w:rsidRDefault="00F12CCF" w:rsidP="00F12CCF">
            <w:pPr>
              <w:rPr>
                <w:rFonts w:ascii="Times New Roman" w:hAnsi="Times New Roman"/>
              </w:rPr>
            </w:pPr>
            <w:r w:rsidRPr="00CD31FB">
              <w:rPr>
                <w:rFonts w:ascii="Times New Roman" w:hAnsi="Times New Roman"/>
              </w:rPr>
              <w:t>- Pour RF : désignation d'un coordinateur environnemental A (établissements pour la préparation, le traitement ou la transformation d'explosifs, y compris ceux pour la récupération ou la destruction de substances explosives, à l'exclusion des ateliers de chargement de cartouches chez les armuriers et autres détaillants)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1588"/>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Désignation par écrit d'un responsable du dépôt qui s'assure du respect des mesures de sécurité dans le dépôt, du personnel autorisé à accéder aux dépôts (minimum de personnes), à manipuler les colis, à ouvrir les colis, à exécuter les opérations de chargement/déchargement, à tenir le registre, etc.</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C735CB"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3. PLAN INTERNE D’URGENCE</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B21B1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a) Existence d’un plan interne d'urgence.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Date de révision :</w:t>
            </w: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 articles I.2-23, III.3-23).</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xml:space="preserve">Arrêté royal du 22 mai 2019 relatif à la planification d'urgence et la gestion de situations d'urgence à l'échelon communal et provincial et au rôle des bourgmestres et des gouverneurs de province en cas d'événements et de situations de crise nécessitant une coordination ou une gestion à l'échelon national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Art 11 de l’accord de coopération SEVESO III du 16 février 2016.</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Test du plan interne d’urgence : </w:t>
            </w:r>
          </w:p>
          <w:p w:rsidR="00F12CCF" w:rsidRPr="00CD31FB" w:rsidRDefault="00F12CCF" w:rsidP="00F12CCF">
            <w:pPr>
              <w:rPr>
                <w:rFonts w:ascii="Times New Roman" w:hAnsi="Times New Roman"/>
              </w:rPr>
            </w:pPr>
            <w:r w:rsidRPr="00CD31FB">
              <w:rPr>
                <w:rFonts w:ascii="Times New Roman" w:hAnsi="Times New Roman"/>
              </w:rPr>
              <w:t>- 1x/an au moins avec un exercice d’évacuation</w:t>
            </w:r>
          </w:p>
          <w:p w:rsidR="00F12CCF" w:rsidRPr="00CD31FB" w:rsidRDefault="00F12CCF" w:rsidP="00F12CCF">
            <w:pPr>
              <w:rPr>
                <w:rFonts w:ascii="Times New Roman" w:hAnsi="Times New Roman"/>
              </w:rPr>
            </w:pPr>
            <w:r w:rsidRPr="00CD31FB">
              <w:rPr>
                <w:rFonts w:ascii="Times New Roman" w:hAnsi="Times New Roman"/>
              </w:rPr>
              <w:t>- tous les scénarios du plan interne d’urgence sont testés sur 3 ans.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D76F3"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4. INSTRUCTIONS DE TRAVAIL ECRITES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202B14"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d’instructions de travail écrites et à jour.</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w:t>
            </w:r>
          </w:p>
          <w:p w:rsidR="00F12CCF" w:rsidRPr="00CD31FB" w:rsidRDefault="00F12CCF" w:rsidP="00F12CCF">
            <w:pPr>
              <w:rPr>
                <w:rFonts w:ascii="Times New Roman" w:hAnsi="Times New Roman"/>
              </w:rPr>
            </w:pPr>
            <w:r w:rsidRPr="00CD31FB">
              <w:rPr>
                <w:rFonts w:ascii="Times New Roman" w:hAnsi="Times New Roman"/>
              </w:rPr>
              <w:t>Arrêté royal du 23 septembre 1958 (interdictions, notamment les articles 48, 49, 50, 86, 87, 88, 91, 125, 135, 142, 207, 208).</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06.10</w:t>
            </w:r>
            <w:r w:rsidRPr="009A4887">
              <w:t xml:space="preserve"> </w:t>
            </w:r>
            <w:r w:rsidRPr="00CD31FB">
              <w:rPr>
                <w:rFonts w:ascii="Times New Roman" w:hAnsi="Times New Roman"/>
              </w:rPr>
              <w:t xml:space="preserve">Contrôle des installations d’explosifs (5.3 - La contrebande)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05.40 Normes de sécurité des installations électriques​​​​​​​ (8.4.2. Mise en sécurité de</w:t>
            </w:r>
          </w:p>
          <w:p w:rsidR="00F12CCF" w:rsidRPr="00CD31FB" w:rsidRDefault="00F12CCF" w:rsidP="00F12CCF">
            <w:pPr>
              <w:rPr>
                <w:rFonts w:ascii="Times New Roman" w:hAnsi="Times New Roman"/>
              </w:rPr>
            </w:pPr>
            <w:r w:rsidRPr="00CD31FB">
              <w:rPr>
                <w:rFonts w:ascii="Times New Roman" w:hAnsi="Times New Roman"/>
              </w:rPr>
              <w:t>l'installation de matières explosives en cas d'orage).</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gouvernement flamand du 1er juin 1995 fixant les dispositions générales et sectorielles en matière d'hygiène de l'environnement (VLAREM II).</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Instructions génériques relatives aux interdictions (alcool, GSM, fumer, flamme nue, outils provoquant des étincelles, aller dans les zones fumeurs avec des vêtements contaminés,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Instructions en cas d'orage.</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i/>
              </w:rPr>
            </w:pPr>
            <w:r w:rsidRPr="00CD31FB">
              <w:rPr>
                <w:rFonts w:ascii="Times New Roman" w:hAnsi="Times New Roman"/>
                <w:i/>
                <w:iCs/>
              </w:rPr>
              <w:t>Ex :</w:t>
            </w:r>
            <w:r w:rsidRPr="00CD31FB">
              <w:rPr>
                <w:rFonts w:ascii="Times New Roman" w:hAnsi="Times New Roman"/>
              </w:rPr>
              <w:t xml:space="preserve"> </w:t>
            </w:r>
            <w:r w:rsidRPr="00CD31FB">
              <w:rPr>
                <w:rFonts w:ascii="Times New Roman" w:hAnsi="Times New Roman"/>
                <w:i/>
              </w:rPr>
              <w:t>Les travaux mettant en jeu des explosifs ou réalisés dans des bâtiments contenant des explosifs sont interdits pendant les orages et le personnel est évacué vers un emplacement approprié situé à une distance suffisante du site d’explosion possible (PES).</w:t>
            </w: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249"/>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Instructions relatives au plan interne d'urgence.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e) Instructions relatives à la gestion du dépôt (voir point 5 contenu minimal).</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249"/>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f) Instructions relatives aux opérations de chargement/déchargement.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249"/>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g) Instructions relatives à l'utilisation et à l’entretien des équipements de manutention.</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tcBorders>
              <w:bottom w:val="nil"/>
            </w:tcBorders>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3F5A80" w:rsidTr="00CD31FB">
        <w:trPr>
          <w:trHeight w:val="249"/>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h) Instructions relatives au contrôle de véhicules entrant sur le site (nature des explosifs conformément aux autorisations, Ex ; pas de 1.1 si pas autorisé au stockage).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tcBorders>
              <w:top w:val="nil"/>
            </w:tcBorders>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84"/>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5. CONTENU MINIMAL DE L'INSTRUCTION DE GESTION DU DEPOT</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1D76F3" w:rsidTr="00CD31FB">
        <w:trPr>
          <w:trHeight w:val="8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a) Les emballages sont fermés (à l’aide d’un autocollant, ou croisement des rabats).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Autorisation provinciale : arrêté royal du 23 septembre 1958 art. 7 et art. 27 (PV réception).</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Permis d’environnement :</w:t>
            </w:r>
          </w:p>
          <w:p w:rsidR="00F12CCF" w:rsidRPr="00CD31FB" w:rsidRDefault="00F12CCF" w:rsidP="00F12CCF">
            <w:pPr>
              <w:rPr>
                <w:rFonts w:ascii="Times New Roman" w:hAnsi="Times New Roman"/>
              </w:rPr>
            </w:pPr>
            <w:r w:rsidRPr="00CD31FB">
              <w:rPr>
                <w:rFonts w:ascii="Times New Roman" w:hAnsi="Times New Roman"/>
              </w:rPr>
              <w:t>Décret du 11 mars 1999 relatif au permis d'environnement (SPW).</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Ordonnance du 5 juin 1997 relative aux permis d'environnement (RBC).</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gouvernement flamand du 1er juin 1995 fixant les dispositions générales et sectorielles en matière d'hygiène de l'environnement (VLAREM II).</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36036A" w:rsidTr="00CD31FB">
        <w:trPr>
          <w:trHeight w:val="8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Les explosifs ne sont pas manipulés ni mis en contact avec des objets susceptibles de donner des étincelles (pas d'outils en métaux ferreux).</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Les emballages ne peuvent être ni jetés, ni traînés.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L’ouverture des emballages est interdite dans le dépôt.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e) Les emballages ouverts (à l’extérieur du dépôt) afin d’y puiser (autorisation de picking) peuvent être replacés dans le dépôt à condition d'être convenablement refermés.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E108F"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f) Les explosifs doivent être stockés dans les dépôts et les zones adéquates (marquage au sol,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g) Les dépôts ne contiennent pas d’autres objets que les produits à emmagasiner (pas de palettes, pas de cartons ou emballages vides,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8864F3"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h) En présence de tout emballage endommagé, on procèdera à un nouvel emballage, avant l’acceptation des produits en dépôt (sauf si l’endommagement est mineur et ne réduit pas le niveau de protection fourni par l’emballage). Le réemballage ne doit pas avoir lieu dans le dépôt.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i) Les emballages et conteneurs doivent être:</w:t>
            </w:r>
            <w:r w:rsidRPr="00CD31FB">
              <w:rPr>
                <w:rFonts w:ascii="Times New Roman" w:hAnsi="Times New Roman"/>
              </w:rPr>
              <w:br/>
              <w:t>- correctement marqués,</w:t>
            </w:r>
          </w:p>
          <w:p w:rsidR="00F12CCF" w:rsidRPr="00CD31FB" w:rsidRDefault="00F12CCF" w:rsidP="00F12CCF">
            <w:pPr>
              <w:rPr>
                <w:rFonts w:ascii="Times New Roman" w:hAnsi="Times New Roman"/>
              </w:rPr>
            </w:pPr>
            <w:r w:rsidRPr="00CD31FB">
              <w:rPr>
                <w:rFonts w:ascii="Times New Roman" w:hAnsi="Times New Roman"/>
              </w:rPr>
              <w:t>- en bon état,</w:t>
            </w:r>
          </w:p>
          <w:p w:rsidR="00F12CCF" w:rsidRPr="00CD31FB" w:rsidRDefault="00F12CCF" w:rsidP="00F12CCF">
            <w:pPr>
              <w:rPr>
                <w:rFonts w:ascii="Times New Roman" w:hAnsi="Times New Roman"/>
              </w:rPr>
            </w:pPr>
            <w:r w:rsidRPr="00CD31FB">
              <w:rPr>
                <w:rFonts w:ascii="Times New Roman" w:hAnsi="Times New Roman"/>
              </w:rPr>
              <w:t>- et débarrassés de toute poussière, impureté ou autre matière contaminante</w:t>
            </w:r>
          </w:p>
          <w:p w:rsidR="00F12CCF" w:rsidRPr="00CD31FB" w:rsidRDefault="00F12CCF" w:rsidP="00F12CCF">
            <w:pPr>
              <w:rPr>
                <w:rFonts w:ascii="Times New Roman" w:hAnsi="Times New Roman"/>
              </w:rPr>
            </w:pPr>
            <w:r w:rsidRPr="00CD31FB">
              <w:rPr>
                <w:rFonts w:ascii="Times New Roman" w:hAnsi="Times New Roman"/>
              </w:rPr>
              <w:t>et ce, avant d’être stockés en dépôts.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i/>
              </w:rPr>
            </w:pPr>
            <w:r w:rsidRPr="00CD31FB">
              <w:rPr>
                <w:rFonts w:ascii="Times New Roman" w:hAnsi="Times New Roman"/>
              </w:rPr>
              <w:t xml:space="preserve">j) Portes immobilisées en position ouverte lorsqu'il y a du personnel dans le dépôt </w:t>
            </w:r>
            <w:r w:rsidRPr="00CD31FB">
              <w:rPr>
                <w:rFonts w:ascii="Times New Roman" w:hAnsi="Times New Roman"/>
                <w:i/>
              </w:rPr>
              <w:t xml:space="preserve">(Pendant la réalisation des opérations, les portes ne doivent pas être fermées autrement qu’avec des barres </w:t>
            </w:r>
            <w:proofErr w:type="spellStart"/>
            <w:r w:rsidRPr="00CD31FB">
              <w:rPr>
                <w:rFonts w:ascii="Times New Roman" w:hAnsi="Times New Roman"/>
                <w:i/>
              </w:rPr>
              <w:t>anti-paniques</w:t>
            </w:r>
            <w:proofErr w:type="spellEnd"/>
            <w:r w:rsidRPr="00CD31FB">
              <w:rPr>
                <w:rFonts w:ascii="Times New Roman" w:hAnsi="Times New Roman"/>
                <w:i/>
              </w:rPr>
              <w:t xml:space="preserve"> maintenues en bon état.</w:t>
            </w:r>
          </w:p>
          <w:p w:rsidR="00F12CCF" w:rsidRPr="00CD31FB" w:rsidRDefault="00F12CCF" w:rsidP="00F12CCF">
            <w:pPr>
              <w:rPr>
                <w:rFonts w:ascii="Times New Roman" w:hAnsi="Times New Roman"/>
                <w:i/>
              </w:rPr>
            </w:pPr>
            <w:r w:rsidRPr="00CD31FB">
              <w:rPr>
                <w:rFonts w:ascii="Times New Roman" w:hAnsi="Times New Roman"/>
                <w:i/>
              </w:rPr>
              <w:t>Lorsque ces dispositifs n’ont pas été installés, les portes doivent être déverrouillées et ouvertes).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k) Fermeture à clé du dépôt en fin de journée ou en cas d'absence du personnel.</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l) La manipulation des explosifs est interdite dans le dépôt (sauf si prévu dans l’autorisation/permis).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m) Une matière ou un objet contaminé par des explosifs est enlevé immédiatement et détruit en toute sécurité par un procédé approuvé.</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n) Nettoyage immédiat de tout épanchement de produit explosif dans le dépôt.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2330A7"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o) Les explosifs destinés à la destruction sont écartés et clairement identifiés.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2330A7" w:rsidTr="00CD31FB">
        <w:trPr>
          <w:trHeight w:val="7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p) Le sol du dépôt est régulièrement nettoyé, gardé propre et sec, et libre de poussières, papiers, emballages vides et déchets.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595"/>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6. GESTION DES STOCKS D'EXPLOSIFS ET REGISTRE</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1D76F3" w:rsidTr="00CD31FB">
        <w:trPr>
          <w:trHeight w:val="595"/>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a) Existence d’une politique de gestion des stocks d'explosifs pour: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 faire respecter la nature, les groupes de compatibilité et les quantités limites d’explosifs dans les dépôts,</w:t>
            </w:r>
          </w:p>
          <w:p w:rsidR="00F12CCF" w:rsidRPr="00CD31FB" w:rsidRDefault="00F12CCF" w:rsidP="00F12CCF">
            <w:pPr>
              <w:rPr>
                <w:rFonts w:ascii="Times New Roman" w:hAnsi="Times New Roman"/>
                <w:lang w:val="en-US"/>
              </w:rPr>
            </w:pPr>
            <w:r w:rsidRPr="00CD31FB">
              <w:rPr>
                <w:rFonts w:ascii="Times New Roman" w:hAnsi="Times New Roman"/>
                <w:lang w:val="en-US"/>
              </w:rPr>
              <w:t>- assurer la rotation des stocks</w:t>
            </w:r>
            <w:r w:rsidRPr="00CD31FB" w:rsidDel="009A417C">
              <w:rPr>
                <w:rFonts w:ascii="Times New Roman" w:hAnsi="Times New Roman"/>
                <w:lang w:val="en-US"/>
              </w:rPr>
              <w:t xml:space="preserve"> </w:t>
            </w:r>
            <w:r w:rsidRPr="00CD31FB">
              <w:rPr>
                <w:rFonts w:ascii="Times New Roman" w:hAnsi="Times New Roman"/>
                <w:lang w:val="en-US"/>
              </w:rPr>
              <w:t>ex : first in/first out).</w:t>
            </w:r>
          </w:p>
          <w:p w:rsidR="00F12CCF" w:rsidRPr="00CD31FB" w:rsidRDefault="00F12CCF" w:rsidP="00F12CCF">
            <w:pPr>
              <w:rPr>
                <w:rFonts w:ascii="Times New Roman" w:hAnsi="Times New Roman"/>
                <w:lang w:val="en-US"/>
              </w:rPr>
            </w:pPr>
          </w:p>
        </w:tc>
        <w:tc>
          <w:tcPr>
            <w:tcW w:w="402" w:type="dxa"/>
            <w:shd w:val="clear" w:color="auto" w:fill="auto"/>
          </w:tcPr>
          <w:p w:rsidR="00F12CCF" w:rsidRPr="00CD31FB" w:rsidRDefault="00F12CCF" w:rsidP="00F12CCF">
            <w:pPr>
              <w:rPr>
                <w:rFonts w:ascii="Times New Roman" w:hAnsi="Times New Roman"/>
                <w:lang w:val="en-US"/>
              </w:rPr>
            </w:pPr>
          </w:p>
        </w:tc>
        <w:tc>
          <w:tcPr>
            <w:tcW w:w="402" w:type="dxa"/>
            <w:shd w:val="clear" w:color="auto" w:fill="auto"/>
          </w:tcPr>
          <w:p w:rsidR="00F12CCF" w:rsidRPr="00CD31FB" w:rsidRDefault="00F12CCF" w:rsidP="00F12CCF">
            <w:pPr>
              <w:rPr>
                <w:rFonts w:ascii="Times New Roman" w:hAnsi="Times New Roman"/>
                <w:lang w:val="en-US"/>
              </w:rPr>
            </w:pPr>
          </w:p>
        </w:tc>
        <w:tc>
          <w:tcPr>
            <w:tcW w:w="402" w:type="dxa"/>
            <w:shd w:val="clear" w:color="auto" w:fill="auto"/>
          </w:tcPr>
          <w:p w:rsidR="00F12CCF" w:rsidRPr="00CD31FB" w:rsidRDefault="00F12CCF" w:rsidP="00F12CCF">
            <w:pPr>
              <w:rPr>
                <w:rFonts w:ascii="Times New Roman" w:hAnsi="Times New Roman"/>
                <w:lang w:val="en-US"/>
              </w:rPr>
            </w:pPr>
          </w:p>
        </w:tc>
        <w:tc>
          <w:tcPr>
            <w:tcW w:w="5558" w:type="dxa"/>
            <w:shd w:val="clear" w:color="auto" w:fill="auto"/>
          </w:tcPr>
          <w:p w:rsidR="00F12CCF" w:rsidRPr="00CD31FB" w:rsidRDefault="00F12CCF" w:rsidP="00F12CCF">
            <w:pPr>
              <w:rPr>
                <w:rFonts w:ascii="Times New Roman" w:hAnsi="Times New Roman"/>
                <w:lang w:val="en-US"/>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royal du 23 septembre 1958</w:t>
            </w:r>
          </w:p>
          <w:p w:rsidR="00F12CCF" w:rsidRPr="00CD31FB" w:rsidRDefault="00F12CCF" w:rsidP="00F12CCF">
            <w:pPr>
              <w:rPr>
                <w:rFonts w:ascii="Times New Roman" w:hAnsi="Times New Roman"/>
              </w:rPr>
            </w:pPr>
            <w:r w:rsidRPr="00CD31FB">
              <w:rPr>
                <w:rFonts w:ascii="Times New Roman" w:hAnsi="Times New Roman"/>
              </w:rPr>
              <w:t>Autorisations/permis.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Permis d’environnement :</w:t>
            </w:r>
          </w:p>
          <w:p w:rsidR="00F12CCF" w:rsidRPr="00CD31FB" w:rsidRDefault="00F12CCF" w:rsidP="00F12CCF">
            <w:pPr>
              <w:rPr>
                <w:rFonts w:ascii="Times New Roman" w:hAnsi="Times New Roman"/>
              </w:rPr>
            </w:pPr>
            <w:r w:rsidRPr="00CD31FB">
              <w:rPr>
                <w:rFonts w:ascii="Times New Roman" w:hAnsi="Times New Roman"/>
              </w:rPr>
              <w:t>Décret du 11 mars 1999 relatif au permis d'environnement (SPW).</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Ordonnance du 5 juin 1997 relative aux permis d'environnement (RBC).</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gouvernement flamand du 1er juin 1995 fixant les dispositions générales et sectorielles en matière d'hygiène de l'environnement (VLAREM II).</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E108F" w:rsidTr="00CD31FB">
        <w:trPr>
          <w:trHeight w:val="542"/>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Existence d’un registre des stocks tenu à jour (registre papier ou informatisé).</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Demander le registre du jour pour vérification sur site.</w:t>
            </w:r>
          </w:p>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Arrêté royal du 23 septembre 1958, art. 211.</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royal du 26 avril 2009 (traçabilité des explosifs à usage civil).</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 (RF).</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54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c) Le registre reprend au moins : </w:t>
            </w:r>
          </w:p>
          <w:p w:rsidR="00F12CCF" w:rsidRPr="00CD31FB" w:rsidRDefault="00F12CCF" w:rsidP="00F12CCF">
            <w:pPr>
              <w:rPr>
                <w:rFonts w:ascii="Times New Roman" w:hAnsi="Times New Roman"/>
              </w:rPr>
            </w:pPr>
            <w:r w:rsidRPr="00CD31FB">
              <w:rPr>
                <w:rFonts w:ascii="Times New Roman" w:hAnsi="Times New Roman"/>
              </w:rPr>
              <w:t>- la nature du produit,</w:t>
            </w:r>
          </w:p>
          <w:p w:rsidR="00F12CCF" w:rsidRPr="00CD31FB" w:rsidRDefault="00F12CCF" w:rsidP="00F12CCF">
            <w:pPr>
              <w:rPr>
                <w:rFonts w:ascii="Times New Roman" w:hAnsi="Times New Roman"/>
              </w:rPr>
            </w:pPr>
            <w:r w:rsidRPr="00CD31FB">
              <w:rPr>
                <w:rFonts w:ascii="Times New Roman" w:hAnsi="Times New Roman"/>
              </w:rPr>
              <w:t>- le danger,</w:t>
            </w:r>
          </w:p>
          <w:p w:rsidR="00F12CCF" w:rsidRPr="00CD31FB" w:rsidRDefault="00F12CCF" w:rsidP="00F12CCF">
            <w:pPr>
              <w:rPr>
                <w:rFonts w:ascii="Times New Roman" w:hAnsi="Times New Roman"/>
              </w:rPr>
            </w:pPr>
            <w:r w:rsidRPr="00CD31FB">
              <w:rPr>
                <w:rFonts w:ascii="Times New Roman" w:hAnsi="Times New Roman"/>
              </w:rPr>
              <w:t>- le groupe de compatibilité,</w:t>
            </w:r>
          </w:p>
          <w:p w:rsidR="00F12CCF" w:rsidRPr="00CD31FB" w:rsidRDefault="00F12CCF" w:rsidP="00F12CCF">
            <w:pPr>
              <w:rPr>
                <w:rFonts w:ascii="Times New Roman" w:hAnsi="Times New Roman"/>
              </w:rPr>
            </w:pPr>
            <w:r w:rsidRPr="00CD31FB">
              <w:rPr>
                <w:rFonts w:ascii="Times New Roman" w:hAnsi="Times New Roman"/>
              </w:rPr>
              <w:t>- la quantité,</w:t>
            </w:r>
          </w:p>
          <w:p w:rsidR="00F12CCF" w:rsidRPr="00CD31FB" w:rsidRDefault="00F12CCF" w:rsidP="00F12CCF">
            <w:pPr>
              <w:rPr>
                <w:rFonts w:ascii="Times New Roman" w:hAnsi="Times New Roman"/>
              </w:rPr>
            </w:pPr>
            <w:r w:rsidRPr="00CD31FB">
              <w:rPr>
                <w:rFonts w:ascii="Times New Roman" w:hAnsi="Times New Roman"/>
              </w:rPr>
              <w:t>- la date du mouvement,</w:t>
            </w:r>
          </w:p>
          <w:p w:rsidR="00F12CCF" w:rsidRPr="00CD31FB" w:rsidRDefault="00F12CCF" w:rsidP="00F12CCF">
            <w:pPr>
              <w:rPr>
                <w:rFonts w:ascii="Times New Roman" w:hAnsi="Times New Roman"/>
              </w:rPr>
            </w:pPr>
            <w:r w:rsidRPr="00CD31FB">
              <w:rPr>
                <w:rFonts w:ascii="Times New Roman" w:hAnsi="Times New Roman"/>
              </w:rPr>
              <w:t>- les lieux de provenance et de destination,</w:t>
            </w:r>
          </w:p>
          <w:p w:rsidR="00F12CCF" w:rsidRPr="00CD31FB" w:rsidRDefault="00F12CCF" w:rsidP="00F12CCF">
            <w:pPr>
              <w:rPr>
                <w:rFonts w:ascii="Times New Roman" w:hAnsi="Times New Roman"/>
              </w:rPr>
            </w:pPr>
            <w:r w:rsidRPr="00CD31FB">
              <w:rPr>
                <w:rFonts w:ascii="Times New Roman" w:hAnsi="Times New Roman"/>
              </w:rPr>
              <w:t>- le numéro d’identification unique (uniquement dans le cas des explosifs à usage civil).</w:t>
            </w:r>
          </w:p>
          <w:p w:rsidR="00F12CCF" w:rsidRPr="00CD31FB" w:rsidRDefault="00F12CCF" w:rsidP="00F12CCF">
            <w:pPr>
              <w:rPr>
                <w:rFonts w:ascii="Times New Roman" w:hAnsi="Times New Roman"/>
              </w:rPr>
            </w:pPr>
          </w:p>
        </w:tc>
        <w:tc>
          <w:tcPr>
            <w:tcW w:w="402" w:type="dxa"/>
            <w:shd w:val="clear" w:color="auto" w:fill="auto"/>
          </w:tcPr>
          <w:p w:rsidR="00F12CCF" w:rsidRPr="00CD31FB" w:rsidDel="00C342CD" w:rsidRDefault="00F12CCF" w:rsidP="00F12CCF">
            <w:pPr>
              <w:rPr>
                <w:rFonts w:ascii="Times New Roman" w:hAnsi="Times New Roman"/>
              </w:rPr>
            </w:pPr>
          </w:p>
        </w:tc>
        <w:tc>
          <w:tcPr>
            <w:tcW w:w="402" w:type="dxa"/>
            <w:shd w:val="clear" w:color="auto" w:fill="auto"/>
          </w:tcPr>
          <w:p w:rsidR="00F12CCF" w:rsidRPr="00CD31FB" w:rsidDel="00C342CD" w:rsidRDefault="00F12CCF" w:rsidP="00F12CCF">
            <w:pPr>
              <w:rPr>
                <w:rFonts w:ascii="Times New Roman" w:hAnsi="Times New Roman"/>
              </w:rPr>
            </w:pPr>
          </w:p>
        </w:tc>
        <w:tc>
          <w:tcPr>
            <w:tcW w:w="402" w:type="dxa"/>
            <w:shd w:val="clear" w:color="auto" w:fill="auto"/>
          </w:tcPr>
          <w:p w:rsidR="00F12CCF" w:rsidRPr="00CD31FB" w:rsidDel="00C342CD"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54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Possibilité de consulter le registre à tout moment sans avoir besoin de pénétrer dans le dépôt concerné.</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931"/>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7. INSPECTION REGULIERE DES STOCKS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771EC5" w:rsidTr="00CD31FB">
        <w:trPr>
          <w:trHeight w:val="70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d’une procédure d’inspection régulière du dépôt.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931"/>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Cette procédure reprend au moins le contrôle des points suivants : </w:t>
            </w:r>
          </w:p>
          <w:p w:rsidR="00F12CCF" w:rsidRPr="00CD31FB" w:rsidRDefault="00F12CCF" w:rsidP="00F12CCF">
            <w:pPr>
              <w:rPr>
                <w:rFonts w:ascii="Times New Roman" w:hAnsi="Times New Roman"/>
              </w:rPr>
            </w:pPr>
            <w:r w:rsidRPr="00CD31FB">
              <w:rPr>
                <w:rFonts w:ascii="Times New Roman" w:hAnsi="Times New Roman"/>
              </w:rPr>
              <w:t>- état des emballages,</w:t>
            </w:r>
          </w:p>
          <w:p w:rsidR="00F12CCF" w:rsidRPr="00CD31FB" w:rsidRDefault="00F12CCF" w:rsidP="00F12CCF">
            <w:pPr>
              <w:rPr>
                <w:rFonts w:ascii="Times New Roman" w:hAnsi="Times New Roman"/>
              </w:rPr>
            </w:pPr>
            <w:r w:rsidRPr="00CD31FB">
              <w:rPr>
                <w:rFonts w:ascii="Times New Roman" w:hAnsi="Times New Roman"/>
              </w:rPr>
              <w:t>- bonne rotation des stocks,</w:t>
            </w:r>
          </w:p>
          <w:p w:rsidR="00F12CCF" w:rsidRPr="00CD31FB" w:rsidRDefault="00F12CCF" w:rsidP="00F12CCF">
            <w:pPr>
              <w:rPr>
                <w:rFonts w:ascii="Times New Roman" w:hAnsi="Times New Roman"/>
              </w:rPr>
            </w:pPr>
            <w:r w:rsidRPr="00CD31FB">
              <w:rPr>
                <w:rFonts w:ascii="Times New Roman" w:hAnsi="Times New Roman"/>
              </w:rPr>
              <w:t>- nature et quantités stockées,</w:t>
            </w:r>
          </w:p>
          <w:p w:rsidR="00F12CCF" w:rsidRPr="00CD31FB" w:rsidRDefault="00F12CCF" w:rsidP="00F12CCF">
            <w:pPr>
              <w:rPr>
                <w:rFonts w:ascii="Times New Roman" w:hAnsi="Times New Roman"/>
              </w:rPr>
            </w:pPr>
            <w:r w:rsidRPr="00CD31FB">
              <w:rPr>
                <w:rFonts w:ascii="Times New Roman" w:hAnsi="Times New Roman"/>
              </w:rPr>
              <w:t>- déchets évacués,</w:t>
            </w:r>
          </w:p>
          <w:p w:rsidR="00F12CCF" w:rsidRPr="00CD31FB" w:rsidRDefault="00F12CCF" w:rsidP="00F12CCF">
            <w:pPr>
              <w:rPr>
                <w:rFonts w:ascii="Times New Roman" w:hAnsi="Times New Roman"/>
              </w:rPr>
            </w:pPr>
            <w:r w:rsidRPr="00CD31FB">
              <w:rPr>
                <w:rFonts w:ascii="Times New Roman" w:hAnsi="Times New Roman"/>
              </w:rPr>
              <w:t xml:space="preserve"> -propreté du dépôt,</w:t>
            </w:r>
          </w:p>
          <w:p w:rsidR="00F12CCF" w:rsidRPr="00CD31FB" w:rsidRDefault="00F12CCF" w:rsidP="00F12CCF">
            <w:pPr>
              <w:rPr>
                <w:rFonts w:ascii="Times New Roman" w:hAnsi="Times New Roman"/>
              </w:rPr>
            </w:pPr>
            <w:r w:rsidRPr="00CD31FB">
              <w:rPr>
                <w:rFonts w:ascii="Times New Roman" w:hAnsi="Times New Roman"/>
              </w:rPr>
              <w:t xml:space="preserve">- l’absence d’objets (palettes, emballages, clarks, …) non autorisés, </w:t>
            </w:r>
          </w:p>
          <w:p w:rsidR="00F12CCF" w:rsidRPr="00CD31FB" w:rsidRDefault="00F12CCF" w:rsidP="00F12CCF">
            <w:pPr>
              <w:rPr>
                <w:rFonts w:ascii="Times New Roman" w:hAnsi="Times New Roman"/>
              </w:rPr>
            </w:pPr>
            <w:r w:rsidRPr="00CD31FB">
              <w:rPr>
                <w:rFonts w:ascii="Times New Roman" w:hAnsi="Times New Roman"/>
              </w:rPr>
              <w:t>- espace suffisant pour la circulation et l’inspection,</w:t>
            </w:r>
          </w:p>
          <w:p w:rsidR="00F12CCF" w:rsidRPr="00CD31FB" w:rsidRDefault="00F12CCF" w:rsidP="00F12CCF">
            <w:pPr>
              <w:rPr>
                <w:rFonts w:ascii="Times New Roman" w:hAnsi="Times New Roman"/>
              </w:rPr>
            </w:pPr>
            <w:r w:rsidRPr="00CD31FB">
              <w:rPr>
                <w:rFonts w:ascii="Times New Roman" w:hAnsi="Times New Roman"/>
              </w:rPr>
              <w:t>-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2330A7" w:rsidTr="00CD31FB">
        <w:trPr>
          <w:trHeight w:val="931"/>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Ces inspections sont enregistrées.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931"/>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8. ENTRETIEN DES DEPOTS ET DES ENVIRONS DU DEPOT</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771EC5" w:rsidTr="00CD31FB">
        <w:trPr>
          <w:trHeight w:val="931"/>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d’une politique d'entretien :</w:t>
            </w:r>
          </w:p>
          <w:p w:rsidR="00F12CCF" w:rsidRPr="00CD31FB" w:rsidRDefault="00F12CCF" w:rsidP="00F12CCF">
            <w:pPr>
              <w:rPr>
                <w:rFonts w:ascii="Times New Roman" w:hAnsi="Times New Roman"/>
              </w:rPr>
            </w:pPr>
            <w:r w:rsidRPr="00CD31FB">
              <w:rPr>
                <w:rFonts w:ascii="Times New Roman" w:hAnsi="Times New Roman"/>
              </w:rPr>
              <w:t xml:space="preserve">- des bâtiments, </w:t>
            </w:r>
          </w:p>
          <w:p w:rsidR="00F12CCF" w:rsidRPr="00CD31FB" w:rsidRDefault="00F12CCF" w:rsidP="00F12CCF">
            <w:pPr>
              <w:rPr>
                <w:rFonts w:ascii="Times New Roman" w:hAnsi="Times New Roman"/>
              </w:rPr>
            </w:pPr>
            <w:r w:rsidRPr="00CD31FB">
              <w:rPr>
                <w:rFonts w:ascii="Times New Roman" w:hAnsi="Times New Roman"/>
              </w:rPr>
              <w:t xml:space="preserve">- de l'intérieur des dépôts, </w:t>
            </w:r>
          </w:p>
          <w:p w:rsidR="00F12CCF" w:rsidRPr="00CD31FB" w:rsidRDefault="00F12CCF" w:rsidP="00F12CCF">
            <w:pPr>
              <w:rPr>
                <w:rFonts w:ascii="Times New Roman" w:hAnsi="Times New Roman"/>
              </w:rPr>
            </w:pPr>
            <w:r w:rsidRPr="00CD31FB">
              <w:rPr>
                <w:rFonts w:ascii="Times New Roman" w:hAnsi="Times New Roman"/>
              </w:rPr>
              <w:t>- de la maitrise de la végétation,</w:t>
            </w:r>
          </w:p>
          <w:p w:rsidR="00F12CCF" w:rsidRPr="00CD31FB" w:rsidRDefault="00F12CCF" w:rsidP="00F12CCF">
            <w:pPr>
              <w:rPr>
                <w:rFonts w:ascii="Times New Roman" w:hAnsi="Times New Roman"/>
              </w:rPr>
            </w:pPr>
            <w:r w:rsidRPr="00CD31FB">
              <w:rPr>
                <w:rFonts w:ascii="Times New Roman" w:hAnsi="Times New Roman"/>
              </w:rPr>
              <w:t>-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D76F3" w:rsidTr="00CD31FB">
        <w:trPr>
          <w:trHeight w:val="382"/>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9. GESTION DES DECHETS EXPLOSIFS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202B14" w:rsidTr="00CD31FB">
        <w:trPr>
          <w:trHeight w:val="382"/>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d’une procédure écrite de gestion des déchets explosifs.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06.30 Stockage et Manutention (4.5. Emballages endommagés).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06.10 Contrôle des installations d’explosifs (11.10.Isolement et séparation des stock</w:t>
            </w:r>
            <w:r w:rsidRPr="00CD31FB" w:rsidDel="00566494">
              <w:rPr>
                <w:rFonts w:ascii="Times New Roman" w:hAnsi="Times New Roman"/>
              </w:rPr>
              <w:t xml:space="preserve"> </w:t>
            </w:r>
            <w:r w:rsidRPr="00CD31FB">
              <w:rPr>
                <w:rFonts w:ascii="Times New Roman" w:hAnsi="Times New Roman"/>
              </w:rPr>
              <w:t>).</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D76F3" w:rsidTr="00CD31FB">
        <w:trPr>
          <w:trHeight w:val="382"/>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Cette procédure mentionne notamment ce qu’il faut faire : </w:t>
            </w:r>
          </w:p>
          <w:p w:rsidR="00F12CCF" w:rsidRPr="00CD31FB" w:rsidRDefault="00F12CCF" w:rsidP="00F12CCF">
            <w:pPr>
              <w:rPr>
                <w:rFonts w:ascii="Times New Roman" w:hAnsi="Times New Roman"/>
              </w:rPr>
            </w:pPr>
            <w:r w:rsidRPr="00CD31FB">
              <w:rPr>
                <w:rFonts w:ascii="Times New Roman" w:hAnsi="Times New Roman"/>
              </w:rPr>
              <w:t>- avec les emballages vides souillés,</w:t>
            </w:r>
          </w:p>
          <w:p w:rsidR="00F12CCF" w:rsidRPr="00CD31FB" w:rsidRDefault="00F12CCF" w:rsidP="00F12CCF">
            <w:pPr>
              <w:rPr>
                <w:rFonts w:ascii="Times New Roman" w:hAnsi="Times New Roman"/>
              </w:rPr>
            </w:pPr>
            <w:r w:rsidRPr="00CD31FB">
              <w:rPr>
                <w:rFonts w:ascii="Times New Roman" w:hAnsi="Times New Roman"/>
              </w:rPr>
              <w:t>- lorsqu’un emballage contenant un explosif est détérioré et mis en quarantaine,</w:t>
            </w:r>
          </w:p>
          <w:p w:rsidR="00F12CCF" w:rsidRPr="00CD31FB" w:rsidRDefault="00F12CCF" w:rsidP="00F12CCF">
            <w:pPr>
              <w:rPr>
                <w:rFonts w:ascii="Times New Roman" w:hAnsi="Times New Roman"/>
              </w:rPr>
            </w:pPr>
            <w:r w:rsidRPr="00CD31FB">
              <w:rPr>
                <w:rFonts w:ascii="Times New Roman" w:hAnsi="Times New Roman"/>
              </w:rPr>
              <w:t>- avec un explosif impropre à l’utilisation (explosifs à détruire),</w:t>
            </w:r>
          </w:p>
          <w:p w:rsidR="00F12CCF" w:rsidRPr="00CD31FB" w:rsidRDefault="00F12CCF" w:rsidP="00F12CCF">
            <w:pPr>
              <w:rPr>
                <w:rFonts w:ascii="Times New Roman" w:hAnsi="Times New Roman"/>
              </w:rPr>
            </w:pPr>
            <w:r w:rsidRPr="00CD31FB">
              <w:rPr>
                <w:rFonts w:ascii="Times New Roman" w:hAnsi="Times New Roman"/>
              </w:rPr>
              <w:t>- toute matière ou objet contaminé par un explosif.</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382"/>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c) Gestion du stockage de courte durée des déchets : </w:t>
            </w:r>
          </w:p>
          <w:p w:rsidR="00F12CCF" w:rsidRPr="00CD31FB" w:rsidRDefault="00F12CCF" w:rsidP="00F12CCF">
            <w:pPr>
              <w:rPr>
                <w:rFonts w:ascii="Times New Roman" w:hAnsi="Times New Roman"/>
              </w:rPr>
            </w:pPr>
            <w:r w:rsidRPr="00CD31FB">
              <w:rPr>
                <w:rFonts w:ascii="Times New Roman" w:hAnsi="Times New Roman"/>
              </w:rPr>
              <w:t xml:space="preserve">- zone dédiée, </w:t>
            </w:r>
          </w:p>
          <w:p w:rsidR="00F12CCF" w:rsidRPr="00CD31FB" w:rsidRDefault="00F12CCF" w:rsidP="00F12CCF">
            <w:pPr>
              <w:rPr>
                <w:rFonts w:ascii="Times New Roman" w:hAnsi="Times New Roman"/>
              </w:rPr>
            </w:pPr>
            <w:r w:rsidRPr="00CD31FB">
              <w:rPr>
                <w:rFonts w:ascii="Times New Roman" w:hAnsi="Times New Roman"/>
              </w:rPr>
              <w:t xml:space="preserve">- évaluation de l’augmentation potentielle du risque, </w:t>
            </w:r>
          </w:p>
          <w:p w:rsidR="00F12CCF" w:rsidRPr="00CD31FB" w:rsidRDefault="00F12CCF" w:rsidP="00F12CCF">
            <w:pPr>
              <w:rPr>
                <w:rFonts w:ascii="Times New Roman" w:hAnsi="Times New Roman"/>
              </w:rPr>
            </w:pPr>
            <w:r w:rsidRPr="00CD31FB">
              <w:rPr>
                <w:rFonts w:ascii="Times New Roman" w:hAnsi="Times New Roman"/>
              </w:rPr>
              <w:t xml:space="preserve">- mise en place d’une évacuation régulière en vue de leur élimination. </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10. INSTALLATION ELECTRIQUE, DE CHAUFFAGE, DE CONDITIONNEMENT D'AIR</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942526"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L’installation électrique BT et HT est conforme au RGIE.</w:t>
            </w:r>
          </w:p>
          <w:p w:rsidR="00F12CCF" w:rsidRPr="00CD31FB" w:rsidRDefault="00F12CCF" w:rsidP="00F12CCF">
            <w:pPr>
              <w:rPr>
                <w:rFonts w:ascii="Times New Roman" w:hAnsi="Times New Roman"/>
              </w:rPr>
            </w:pPr>
            <w:r w:rsidRPr="00CD31FB">
              <w:rPr>
                <w:rFonts w:ascii="Times New Roman" w:hAnsi="Times New Roman"/>
              </w:rPr>
              <w:t xml:space="preserve"> </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Date du dernier contrôle BT :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Date du dernier contrôle HT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Type de chauffage ou conditionnement d’air :</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Conforme à l’autorisation/permis ?</w:t>
            </w: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 chapitres III, IV, V, article III.3-22).</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RGIE</w:t>
            </w:r>
            <w:r w:rsidRPr="004617C3">
              <w:t xml:space="preserve"> (R</w:t>
            </w:r>
            <w:r w:rsidRPr="00CD31FB">
              <w:rPr>
                <w:rFonts w:ascii="Times New Roman" w:hAnsi="Times New Roman"/>
              </w:rPr>
              <w:t>èglement Général sur les Installations Electriques).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Contrôle 1x/an par un SECT de l’installation HT.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vMerge/>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Contrôle 1x/5 ans par un SECT de l’installation BT.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vMerge/>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CC77F4" w:rsidTr="00CD31FB">
        <w:trPr>
          <w:trHeight w:val="93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d) Si elles sont autorisées, les installations de chauffage et de conditionnement d'air sont entretenues et </w:t>
            </w:r>
          </w:p>
          <w:p w:rsidR="00F12CCF" w:rsidRPr="00CD31FB" w:rsidRDefault="00F12CCF" w:rsidP="00F12CCF">
            <w:pPr>
              <w:rPr>
                <w:rFonts w:ascii="Times New Roman" w:hAnsi="Times New Roman"/>
              </w:rPr>
            </w:pPr>
            <w:r w:rsidRPr="00CD31FB">
              <w:rPr>
                <w:rFonts w:ascii="Times New Roman" w:hAnsi="Times New Roman"/>
              </w:rPr>
              <w:t>contrôlées périodiquement.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vMerge/>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1816"/>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11. EQUIPEMENTS DE PROTECTION CONTRE L’INCENDIE - équipements portables-extincteurs, équipements fixes - systèmes automatiques d'extinction d'incendie.</w:t>
            </w:r>
          </w:p>
          <w:p w:rsidR="00F12CCF" w:rsidRPr="00CD31FB" w:rsidRDefault="00F12CCF" w:rsidP="00F12CCF">
            <w:pPr>
              <w:rPr>
                <w:rFonts w:ascii="Times New Roman" w:hAnsi="Times New Roman"/>
                <w:b/>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942526" w:rsidTr="00CD31FB">
        <w:trPr>
          <w:trHeight w:val="303"/>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d’équipements de protection contre l’incendie.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 articles III.3-22, IX.1-19)</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Autorisations/permis.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4617C3" w:rsidTr="00CD31FB">
        <w:trPr>
          <w:trHeight w:val="303"/>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Déterminés sur base d’une analyse de risques et conforme aux autorisations/permis.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4617C3" w:rsidTr="00CD31FB">
        <w:trPr>
          <w:trHeight w:val="303"/>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Déterminés en concertation avec les services d'incendie.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4617C3" w:rsidTr="00CD31FB">
        <w:trPr>
          <w:trHeight w:val="303"/>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Identifiés sur un plan.</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300"/>
        </w:trPr>
        <w:tc>
          <w:tcPr>
            <w:tcW w:w="2870" w:type="dxa"/>
            <w:shd w:val="clear" w:color="auto" w:fill="auto"/>
          </w:tcPr>
          <w:p w:rsidR="00F12CCF" w:rsidRPr="00CD31FB" w:rsidRDefault="00F12CCF" w:rsidP="00F12CCF">
            <w:pPr>
              <w:rPr>
                <w:rFonts w:ascii="Times New Roman" w:hAnsi="Times New Roman"/>
                <w:i/>
              </w:rPr>
            </w:pPr>
            <w:r w:rsidRPr="00CD31FB">
              <w:rPr>
                <w:rFonts w:ascii="Times New Roman" w:hAnsi="Times New Roman"/>
              </w:rPr>
              <w:t>e) Repris dans un programme d’entretien et d’inspection</w:t>
            </w:r>
            <w:r w:rsidRPr="00CD31FB">
              <w:rPr>
                <w:rFonts w:ascii="Times New Roman" w:hAnsi="Times New Roman"/>
              </w:rPr>
              <w:br/>
            </w:r>
            <w:r w:rsidRPr="00CD31FB">
              <w:rPr>
                <w:rFonts w:ascii="Times New Roman" w:hAnsi="Times New Roman"/>
                <w:i/>
                <w:iCs/>
              </w:rPr>
              <w:t xml:space="preserve"> (</w:t>
            </w:r>
            <w:r w:rsidRPr="00CD31FB">
              <w:rPr>
                <w:rFonts w:ascii="Times New Roman" w:hAnsi="Times New Roman"/>
                <w:i/>
              </w:rPr>
              <w:t xml:space="preserve">A défaut de prescriptions plus strictes de la part du fabricant ou de l'installateur ou qui découlent des règles de l'art, les équipements de protection contre l'incendie </w:t>
            </w:r>
            <w:r w:rsidRPr="00CD31FB">
              <w:rPr>
                <w:rFonts w:ascii="Times New Roman" w:hAnsi="Times New Roman"/>
                <w:b/>
                <w:i/>
              </w:rPr>
              <w:t>sont contrôlés au moins une fois par an).</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12. SYSTEMES DE PROTECTION CONTRE LA FOUDRE</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Del="00791B6E"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E42257"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Existence de moyens de protection efficaces contre la foudre (et mise à la terre du dépôt).</w:t>
            </w:r>
          </w:p>
        </w:tc>
        <w:tc>
          <w:tcPr>
            <w:tcW w:w="402" w:type="dxa"/>
            <w:shd w:val="clear" w:color="auto" w:fill="auto"/>
          </w:tcPr>
          <w:p w:rsidR="00F12CCF" w:rsidRPr="00CD31FB" w:rsidDel="00791B6E" w:rsidRDefault="00F12CCF" w:rsidP="00F12CCF">
            <w:pPr>
              <w:rPr>
                <w:rFonts w:ascii="Times New Roman" w:hAnsi="Times New Roman"/>
              </w:rPr>
            </w:pPr>
          </w:p>
        </w:tc>
        <w:tc>
          <w:tcPr>
            <w:tcW w:w="402" w:type="dxa"/>
            <w:shd w:val="clear" w:color="auto" w:fill="auto"/>
          </w:tcPr>
          <w:p w:rsidR="00F12CCF" w:rsidRPr="00CD31FB" w:rsidDel="00791B6E" w:rsidRDefault="00F12CCF" w:rsidP="00F12CCF">
            <w:pPr>
              <w:rPr>
                <w:rFonts w:ascii="Times New Roman" w:hAnsi="Times New Roman"/>
              </w:rPr>
            </w:pPr>
          </w:p>
        </w:tc>
        <w:tc>
          <w:tcPr>
            <w:tcW w:w="402" w:type="dxa"/>
            <w:shd w:val="clear" w:color="auto" w:fill="auto"/>
          </w:tcPr>
          <w:p w:rsidR="00F12CCF" w:rsidRPr="00CD31FB" w:rsidDel="00791B6E"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IATG 05.40 Normes de sécurité des installations électriques​​​​​​​ (8. Systèmes parafoudres).</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NBN EN62305</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B56563"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Entretenus et contrôlés périodiquement.</w:t>
            </w:r>
          </w:p>
          <w:p w:rsidR="00F12CCF" w:rsidRPr="00CD31FB" w:rsidRDefault="00F12CCF" w:rsidP="00F12CCF">
            <w:pPr>
              <w:rPr>
                <w:rFonts w:ascii="Times New Roman" w:hAnsi="Times New Roman"/>
              </w:rPr>
            </w:pPr>
          </w:p>
        </w:tc>
        <w:tc>
          <w:tcPr>
            <w:tcW w:w="402" w:type="dxa"/>
            <w:shd w:val="clear" w:color="auto" w:fill="auto"/>
          </w:tcPr>
          <w:p w:rsidR="00F12CCF" w:rsidRPr="00CD31FB" w:rsidDel="00791B6E" w:rsidRDefault="00F12CCF" w:rsidP="00F12CCF">
            <w:pPr>
              <w:rPr>
                <w:rFonts w:ascii="Times New Roman" w:hAnsi="Times New Roman"/>
              </w:rPr>
            </w:pPr>
          </w:p>
        </w:tc>
        <w:tc>
          <w:tcPr>
            <w:tcW w:w="402" w:type="dxa"/>
            <w:shd w:val="clear" w:color="auto" w:fill="auto"/>
          </w:tcPr>
          <w:p w:rsidR="00F12CCF" w:rsidRPr="00CD31FB" w:rsidDel="00791B6E" w:rsidRDefault="00F12CCF" w:rsidP="00F12CCF">
            <w:pPr>
              <w:rPr>
                <w:rFonts w:ascii="Times New Roman" w:hAnsi="Times New Roman"/>
              </w:rPr>
            </w:pPr>
          </w:p>
        </w:tc>
        <w:tc>
          <w:tcPr>
            <w:tcW w:w="402" w:type="dxa"/>
            <w:shd w:val="clear" w:color="auto" w:fill="auto"/>
          </w:tcPr>
          <w:p w:rsidR="00F12CCF" w:rsidRPr="00CD31FB" w:rsidDel="00791B6E"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IATG 05.40 (8. Systèmes parafoudre).</w:t>
            </w:r>
          </w:p>
          <w:p w:rsidR="00F12CCF" w:rsidRPr="00CD31FB" w:rsidRDefault="00F12CCF" w:rsidP="00F12CCF">
            <w:pPr>
              <w:rPr>
                <w:rFonts w:ascii="Times New Roman" w:hAnsi="Times New Roman"/>
              </w:rPr>
            </w:pPr>
            <w:r w:rsidRPr="00CD31FB">
              <w:rPr>
                <w:rFonts w:ascii="Times New Roman" w:hAnsi="Times New Roman"/>
              </w:rPr>
              <w:t>NBN EN62305</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1D76F3"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13. ENGINS DE MANUTENTION</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1D76F3"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Les engins de manutention répondent aux normes de constructions en vigueur avec spécificités pour les zones avec matières explosives (voir annexe E, IATG 05.50).</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b) Les transpalettes et autres engins de manutention sont entretenus et contrôlés périodiquement.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IATG 05.50 Véhicules et Équipements de manutention mécanique (MHE) dans les installations destinées au stockage des matières explosives.</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14. SOLS ANTISTATIQUES ET systèmes de décharge électrique DES SOLS CONDUCTEURS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E42257"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Si présence de sols antistatiques et conducteurs, ainsi que des systèmes de décharge électrique (dans les dépôts de détonateurs), ceux-ci sont entretenus et contrôlés périodiquement.</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IATG 05.40 (9. Opérations des régimes de conduction et antistatiques).</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rPr>
          <w:trHeight w:val="610"/>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15. VETEMENTS DE TRAVAIL ET EPI</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481629" w:rsidTr="00CD31FB">
        <w:trPr>
          <w:trHeight w:val="7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Vêtements de travail en coton ou matériau similaire. Le risque électrostatique et d'exposition au feu (vêtement ignifuge) est pris en considération si nécessaire.</w:t>
            </w:r>
          </w:p>
          <w:p w:rsidR="00F12CCF" w:rsidRPr="00CD31FB" w:rsidDel="009F357E"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Code du bien-être au travail (arrêté royal du 28 avril 2017, Titre 3 Vêtements de travail et Titre 2 Equipements de protection individuelle).</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Del="00481629"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481629" w:rsidTr="00CD31FB">
        <w:trPr>
          <w:trHeight w:val="61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b) Chaussures conductrices pour les opérateurs si les produits sont sensibles aux risques électrostatiques (détonateurs). </w:t>
            </w:r>
            <w:r w:rsidRPr="00CD31FB">
              <w:rPr>
                <w:rFonts w:ascii="Times New Roman" w:hAnsi="Times New Roman"/>
                <w:i/>
              </w:rPr>
              <w:t>Dans ce cas, le sol doit aussi être conducteur.</w:t>
            </w:r>
          </w:p>
          <w:p w:rsidR="00F12CCF" w:rsidRPr="00CD31FB" w:rsidDel="009F357E"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Del="00481629"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771EC5" w:rsidTr="00CD31FB">
        <w:trPr>
          <w:trHeight w:val="61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Mise à la disposition du travailleur par l’employeur.</w:t>
            </w:r>
          </w:p>
          <w:p w:rsidR="00F12CCF" w:rsidRPr="00B56563" w:rsidRDefault="00F12CCF" w:rsidP="00F12CCF"/>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771EC5" w:rsidTr="00CD31FB">
        <w:trPr>
          <w:trHeight w:val="610"/>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Le nettoyage régulier des vêtements de travail se fait par l’employeur (les vêtements ne peuvent pas être repris à la maison).</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r>
      <w:tr w:rsidR="00F12CCF" w:rsidRPr="00942526" w:rsidTr="00CD31FB">
        <w:trPr>
          <w:trHeight w:val="661"/>
        </w:trPr>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16. TRAVAUX DE MAINTENANCE/TRAVAUX DANS LE DEPOT ET SES ABORDS</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1D76F3" w:rsidTr="00CD31FB">
        <w:trPr>
          <w:trHeight w:val="661"/>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Tout travail de maintenance dans un dépôt fait l’objet d’un permis de travail.</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royal du 23 septembre 1958, art. 47 et 206.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06.60 Prestations de travaux construction et réparation.</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Art 6 et 8 de l’accord de coopération SEVESO III du 16 février 2016.</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Arrêté du 1er juin 1995 du gouvernement flamand fixant les dispositions générales et sectorielles en matière d'hygiène de l'environnement (VLAREM II).</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661"/>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En cas de réparation importante, les explosifs sont évacués.</w:t>
            </w:r>
          </w:p>
          <w:p w:rsidR="00F12CCF" w:rsidRPr="00CD31FB" w:rsidRDefault="00F12CCF" w:rsidP="00F12CCF">
            <w:pPr>
              <w:rPr>
                <w:rFonts w:ascii="Times New Roman" w:hAnsi="Times New Roman"/>
              </w:rPr>
            </w:pPr>
            <w:r w:rsidRPr="00CD31FB">
              <w:rPr>
                <w:rFonts w:ascii="Times New Roman" w:hAnsi="Times New Roman"/>
              </w:rPr>
              <w:br/>
              <w:t>En cas de réparation légère, les travaux sont surveillés par une personne expérimentée.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r>
      <w:tr w:rsidR="00F12CCF" w:rsidRPr="00942526" w:rsidTr="00CD31FB">
        <w:tc>
          <w:tcPr>
            <w:tcW w:w="2870" w:type="dxa"/>
            <w:shd w:val="clear" w:color="auto" w:fill="E7E6E6"/>
          </w:tcPr>
          <w:p w:rsidR="00F12CCF" w:rsidRPr="00CD31FB" w:rsidRDefault="00F12CCF" w:rsidP="00F12CCF">
            <w:pPr>
              <w:rPr>
                <w:rFonts w:ascii="Times New Roman" w:hAnsi="Times New Roman"/>
                <w:b/>
              </w:rPr>
            </w:pPr>
            <w:r w:rsidRPr="00CD31FB">
              <w:rPr>
                <w:rFonts w:ascii="Times New Roman" w:hAnsi="Times New Roman"/>
                <w:b/>
              </w:rPr>
              <w:t>17. MESURES PRISES CONTRE LE VOL/MALVEILLANCE</w:t>
            </w: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5558" w:type="dxa"/>
            <w:shd w:val="clear" w:color="auto" w:fill="E7E6E6"/>
          </w:tcPr>
          <w:p w:rsidR="00F12CCF" w:rsidRPr="00CD31FB" w:rsidRDefault="00F12CCF" w:rsidP="00F12CCF">
            <w:pPr>
              <w:rPr>
                <w:rFonts w:ascii="Times New Roman" w:hAnsi="Times New Roman"/>
              </w:rPr>
            </w:pPr>
          </w:p>
        </w:tc>
        <w:tc>
          <w:tcPr>
            <w:tcW w:w="2044"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c>
          <w:tcPr>
            <w:tcW w:w="402" w:type="dxa"/>
            <w:shd w:val="clear" w:color="auto" w:fill="E7E6E6"/>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a) Contrôle d'accès des personnes et des véhicules/camions entrant sur le site.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val="restart"/>
            <w:shd w:val="clear" w:color="auto" w:fill="auto"/>
          </w:tcPr>
          <w:p w:rsidR="00F12CCF" w:rsidRPr="00CD31FB" w:rsidRDefault="00F12CCF" w:rsidP="00F12CCF">
            <w:pPr>
              <w:rPr>
                <w:rFonts w:ascii="Times New Roman" w:hAnsi="Times New Roman"/>
              </w:rPr>
            </w:pPr>
            <w:r w:rsidRPr="00CD31FB">
              <w:rPr>
                <w:rFonts w:ascii="Times New Roman" w:hAnsi="Times New Roman"/>
              </w:rPr>
              <w:t xml:space="preserve">Arrêté royal du 23 septembre 1958, art. </w:t>
            </w:r>
          </w:p>
          <w:p w:rsidR="00F12CCF" w:rsidRPr="00CD31FB" w:rsidRDefault="00F12CCF" w:rsidP="00F12CCF">
            <w:pPr>
              <w:rPr>
                <w:rFonts w:ascii="Times New Roman" w:hAnsi="Times New Roman"/>
              </w:rPr>
            </w:pPr>
            <w:r w:rsidRPr="00CD31FB">
              <w:rPr>
                <w:rFonts w:ascii="Times New Roman" w:hAnsi="Times New Roman"/>
              </w:rPr>
              <w:t>58, 227, 242, 243 et 288.</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r w:rsidRPr="00CD31FB">
              <w:rPr>
                <w:rFonts w:ascii="Times New Roman" w:hAnsi="Times New Roman"/>
              </w:rPr>
              <w:t>IATG 09.10 Les systèmes et principes de sécurité (8.5, 8.6 et 8.7).</w:t>
            </w:r>
          </w:p>
          <w:p w:rsidR="00F12CCF" w:rsidRPr="00CD31FB" w:rsidRDefault="00F12CCF" w:rsidP="00F12CCF">
            <w:pPr>
              <w:rPr>
                <w:rFonts w:ascii="Times New Roman" w:hAnsi="Times New Roman"/>
              </w:rPr>
            </w:pP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b) Surveillance physique et/ou électronique des dépôts.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c) Gestion des clés des dépôts.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85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d) Contrôle et/ou entretien du système de surveillance (clôtures, alarmes).</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r w:rsidR="00F12CCF" w:rsidRPr="00771EC5" w:rsidTr="00CD31FB">
        <w:trPr>
          <w:trHeight w:val="854"/>
        </w:trPr>
        <w:tc>
          <w:tcPr>
            <w:tcW w:w="2870"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e) Enregistrement des contrôles et /ou entretiens du système de surveillance.</w:t>
            </w:r>
          </w:p>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5558" w:type="dxa"/>
            <w:shd w:val="clear" w:color="auto" w:fill="auto"/>
          </w:tcPr>
          <w:p w:rsidR="00F12CCF" w:rsidRPr="00CD31FB" w:rsidRDefault="00F12CCF" w:rsidP="00F12CCF">
            <w:pPr>
              <w:rPr>
                <w:rFonts w:ascii="Times New Roman" w:hAnsi="Times New Roman"/>
              </w:rPr>
            </w:pPr>
          </w:p>
        </w:tc>
        <w:tc>
          <w:tcPr>
            <w:tcW w:w="2044" w:type="dxa"/>
            <w:vMerge/>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p>
        </w:tc>
        <w:tc>
          <w:tcPr>
            <w:tcW w:w="402" w:type="dxa"/>
            <w:shd w:val="clear" w:color="auto" w:fill="auto"/>
          </w:tcPr>
          <w:p w:rsidR="00F12CCF" w:rsidRPr="00CD31FB" w:rsidRDefault="00F12CCF" w:rsidP="00F12CCF">
            <w:pPr>
              <w:rPr>
                <w:rFonts w:ascii="Times New Roman" w:hAnsi="Times New Roman"/>
              </w:rPr>
            </w:pPr>
            <w:r w:rsidRPr="00CD31FB">
              <w:rPr>
                <w:rFonts w:ascii="Times New Roman" w:hAnsi="Times New Roman"/>
              </w:rPr>
              <w:t>X</w:t>
            </w:r>
          </w:p>
        </w:tc>
        <w:tc>
          <w:tcPr>
            <w:tcW w:w="402" w:type="dxa"/>
            <w:shd w:val="clear" w:color="auto" w:fill="auto"/>
          </w:tcPr>
          <w:p w:rsidR="00F12CCF" w:rsidRPr="00CD31FB" w:rsidRDefault="00F12CCF" w:rsidP="00F12CCF">
            <w:pPr>
              <w:rPr>
                <w:rFonts w:ascii="Times New Roman" w:hAnsi="Times New Roman"/>
              </w:rPr>
            </w:pPr>
          </w:p>
        </w:tc>
      </w:tr>
    </w:tbl>
    <w:p w:rsidR="00F12CCF" w:rsidRDefault="00F12CCF" w:rsidP="00F12CCF">
      <w:pPr>
        <w:rPr>
          <w:rFonts w:ascii="Times New Roman" w:hAnsi="Times New Roman"/>
        </w:rPr>
      </w:pPr>
    </w:p>
    <w:p w:rsidR="00F12CCF" w:rsidRDefault="00F12CCF" w:rsidP="00F12CCF">
      <w:pPr>
        <w:rPr>
          <w:rFonts w:ascii="Times New Roman" w:hAnsi="Times New Roman"/>
        </w:rPr>
      </w:pPr>
      <w:r>
        <w:rPr>
          <w:rFonts w:ascii="Times New Roman" w:hAnsi="Times New Roman"/>
        </w:rPr>
        <w:t>I : Incendie.</w:t>
      </w:r>
    </w:p>
    <w:p w:rsidR="00F12CCF" w:rsidRDefault="00F12CCF" w:rsidP="00F12CCF">
      <w:pPr>
        <w:rPr>
          <w:rFonts w:ascii="Times New Roman" w:hAnsi="Times New Roman"/>
        </w:rPr>
      </w:pPr>
      <w:r>
        <w:rPr>
          <w:rFonts w:ascii="Times New Roman" w:hAnsi="Times New Roman"/>
        </w:rPr>
        <w:t>E : Explosion.</w:t>
      </w:r>
    </w:p>
    <w:p w:rsidR="00F12CCF" w:rsidRDefault="00F12CCF" w:rsidP="00F12CCF">
      <w:pPr>
        <w:rPr>
          <w:rFonts w:ascii="Times New Roman" w:hAnsi="Times New Roman"/>
        </w:rPr>
      </w:pPr>
      <w:r>
        <w:rPr>
          <w:rFonts w:ascii="Times New Roman" w:hAnsi="Times New Roman"/>
        </w:rPr>
        <w:t>C : Contamination.</w:t>
      </w:r>
    </w:p>
    <w:p w:rsidR="00F12CCF" w:rsidRDefault="00F12CCF" w:rsidP="00F12CCF">
      <w:pPr>
        <w:rPr>
          <w:rFonts w:ascii="Times New Roman" w:hAnsi="Times New Roman"/>
        </w:rPr>
      </w:pPr>
      <w:r>
        <w:rPr>
          <w:rFonts w:ascii="Times New Roman" w:hAnsi="Times New Roman"/>
        </w:rPr>
        <w:t>V : Vol/malveillance.</w:t>
      </w:r>
    </w:p>
    <w:p w:rsidR="001A6DF9" w:rsidRDefault="00F12CCF" w:rsidP="00F12CCF">
      <w:r>
        <w:rPr>
          <w:rFonts w:ascii="Times New Roman" w:hAnsi="Times New Roman"/>
        </w:rPr>
        <w:t>T : protection du Travailleur</w:t>
      </w:r>
    </w:p>
    <w:p w:rsidR="001A6DF9" w:rsidRDefault="001A6DF9" w:rsidP="009D7399">
      <w:pPr>
        <w:jc w:val="left"/>
      </w:pPr>
    </w:p>
    <w:p w:rsidR="008F7B84" w:rsidRDefault="008F7B84" w:rsidP="009D7399">
      <w:pPr>
        <w:jc w:val="left"/>
      </w:pPr>
    </w:p>
    <w:p w:rsidR="008F7B84" w:rsidRDefault="008F7B84" w:rsidP="009D7399">
      <w:pPr>
        <w:jc w:val="left"/>
        <w:sectPr w:rsidR="008F7B84" w:rsidSect="00294E72">
          <w:headerReference w:type="default" r:id="rId34"/>
          <w:pgSz w:w="16840" w:h="11907" w:orient="landscape" w:code="9"/>
          <w:pgMar w:top="1418" w:right="1418" w:bottom="1418" w:left="1418" w:header="709" w:footer="709" w:gutter="0"/>
          <w:cols w:space="708"/>
          <w:docGrid w:linePitch="360"/>
        </w:sectPr>
      </w:pPr>
    </w:p>
    <w:tbl>
      <w:tblPr>
        <w:tblW w:w="1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84"/>
        <w:gridCol w:w="283"/>
        <w:gridCol w:w="283"/>
        <w:gridCol w:w="5103"/>
        <w:gridCol w:w="2556"/>
        <w:gridCol w:w="294"/>
        <w:gridCol w:w="350"/>
        <w:gridCol w:w="349"/>
        <w:gridCol w:w="420"/>
        <w:gridCol w:w="372"/>
      </w:tblGrid>
      <w:tr w:rsidR="00F63C36" w:rsidRPr="005B4101" w:rsidTr="00CD31FB">
        <w:trPr>
          <w:tblHeader/>
        </w:trPr>
        <w:tc>
          <w:tcPr>
            <w:tcW w:w="3256" w:type="dxa"/>
            <w:tcBorders>
              <w:top w:val="single" w:sz="4" w:space="0" w:color="auto"/>
            </w:tcBorders>
            <w:shd w:val="clear" w:color="auto" w:fill="D9D9D9"/>
          </w:tcPr>
          <w:p w:rsidR="00F63C36" w:rsidRPr="00CD31FB" w:rsidRDefault="00F63C36" w:rsidP="00CD31FB">
            <w:pPr>
              <w:rPr>
                <w:rFonts w:ascii="Times New Roman" w:hAnsi="Times New Roman"/>
                <w:b/>
              </w:rPr>
            </w:pPr>
            <w:proofErr w:type="spellStart"/>
            <w:r w:rsidRPr="00CD31FB">
              <w:rPr>
                <w:rFonts w:ascii="Times New Roman" w:hAnsi="Times New Roman"/>
                <w:b/>
              </w:rPr>
              <w:t>Elements</w:t>
            </w:r>
            <w:proofErr w:type="spellEnd"/>
            <w:r w:rsidRPr="00CD31FB">
              <w:rPr>
                <w:rFonts w:ascii="Times New Roman" w:hAnsi="Times New Roman"/>
                <w:b/>
              </w:rPr>
              <w:t xml:space="preserve"> clés</w:t>
            </w:r>
          </w:p>
        </w:tc>
        <w:tc>
          <w:tcPr>
            <w:tcW w:w="284"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OK</w:t>
            </w:r>
          </w:p>
        </w:tc>
        <w:tc>
          <w:tcPr>
            <w:tcW w:w="283"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NOK</w:t>
            </w:r>
          </w:p>
        </w:tc>
        <w:tc>
          <w:tcPr>
            <w:tcW w:w="283"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PDA</w:t>
            </w:r>
          </w:p>
        </w:tc>
        <w:tc>
          <w:tcPr>
            <w:tcW w:w="5103"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Remarques</w:t>
            </w:r>
          </w:p>
        </w:tc>
        <w:tc>
          <w:tcPr>
            <w:tcW w:w="2556"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Références</w:t>
            </w:r>
          </w:p>
        </w:tc>
        <w:tc>
          <w:tcPr>
            <w:tcW w:w="294"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I</w:t>
            </w:r>
          </w:p>
        </w:tc>
        <w:tc>
          <w:tcPr>
            <w:tcW w:w="350"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E</w:t>
            </w:r>
          </w:p>
        </w:tc>
        <w:tc>
          <w:tcPr>
            <w:tcW w:w="349"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C</w:t>
            </w:r>
          </w:p>
        </w:tc>
        <w:tc>
          <w:tcPr>
            <w:tcW w:w="420"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V</w:t>
            </w:r>
          </w:p>
        </w:tc>
        <w:tc>
          <w:tcPr>
            <w:tcW w:w="372" w:type="dxa"/>
            <w:tcBorders>
              <w:top w:val="single" w:sz="4" w:space="0" w:color="auto"/>
            </w:tcBorders>
            <w:shd w:val="clear" w:color="auto" w:fill="D9D9D9"/>
          </w:tcPr>
          <w:p w:rsidR="00F63C36" w:rsidRPr="00CD31FB" w:rsidRDefault="00F63C36" w:rsidP="00CD31FB">
            <w:pPr>
              <w:rPr>
                <w:rFonts w:ascii="Times New Roman" w:hAnsi="Times New Roman"/>
                <w:b/>
              </w:rPr>
            </w:pPr>
            <w:r w:rsidRPr="00CD31FB">
              <w:rPr>
                <w:rFonts w:ascii="Times New Roman" w:hAnsi="Times New Roman"/>
                <w:b/>
              </w:rPr>
              <w:t>T</w:t>
            </w: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 IDENTIFICATION DU STOKAGE D’EXPLOSIFS DANS LE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La nature des explosifs est mentionnée pour chaque local.</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Arrêté royal du 23 septembre 1958, articles 214 (magasins A), 226 (magasins B) et 233 (dépôts C).</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Autorisations/permis.</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1C7500" w:rsidTr="00CD31FB">
        <w:trPr>
          <w:trHeight w:val="504"/>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La quantité maximale des explosifs est mentionnée pour chaque local.</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2. ZONES DE STATIONNEMENT DES CAMIONS D’EXPLOSIFS</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F6326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Les camions stationnent uniquement dans des zones de stationnement autorisées.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Autorisations/permis.</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3. CONDITIONNEMENT DES EXPLOSIFS DANS LE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Les explosifs sont conditionnés dans des emballages homologués au transport.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Arrêté royal du 23 septembre 1958 articles 220 (magasins A), 226 (magasins B), 238 (dépôts C).</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ADR.</w:t>
            </w:r>
          </w:p>
          <w:p w:rsidR="00F63C36" w:rsidRPr="00CD31FB" w:rsidRDefault="00F63C36" w:rsidP="00CD31FB">
            <w:pPr>
              <w:rPr>
                <w:rFonts w:ascii="Times New Roman" w:hAnsi="Times New Roman"/>
              </w:rPr>
            </w:pPr>
            <w:r w:rsidRPr="00CD31FB">
              <w:rPr>
                <w:rFonts w:ascii="Times New Roman" w:hAnsi="Times New Roman"/>
              </w:rPr>
              <w:t>AASTP 1.</w:t>
            </w:r>
          </w:p>
          <w:p w:rsidR="00F63C36" w:rsidRPr="00CD31FB" w:rsidRDefault="00F63C36" w:rsidP="00CD31FB">
            <w:pPr>
              <w:rPr>
                <w:rFonts w:ascii="Times New Roman" w:hAnsi="Times New Roman"/>
              </w:rPr>
            </w:pPr>
            <w:r w:rsidRPr="00CD31FB">
              <w:rPr>
                <w:rFonts w:ascii="Times New Roman" w:hAnsi="Times New Roman"/>
              </w:rPr>
              <w:t xml:space="preserve">IATG 01.50 Système et Code de Classification des Risques d’Explosion de l’ONU </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 xml:space="preserve">Guide sur l’application des critères CLP </w:t>
            </w:r>
          </w:p>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1C7500" w:rsidTr="00CD31FB">
        <w:trPr>
          <w:trHeight w:val="1582"/>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Les emballages homologués au transport sont fermés d'origine ou refermés correctement après ouverture.</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i/>
                <w:sz w:val="18"/>
                <w:szCs w:val="18"/>
              </w:rPr>
            </w:pPr>
            <w:r w:rsidRPr="00CD31FB">
              <w:rPr>
                <w:rFonts w:ascii="Times New Roman" w:hAnsi="Times New Roman"/>
                <w:i/>
                <w:sz w:val="18"/>
                <w:szCs w:val="18"/>
              </w:rPr>
              <w:t>Nota 1. les emballages homologués refermés ne sont pas à l'origine d'aggravation du danger (le danger n'a pas été modifié).</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1C7500"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Dans les dépôts annexés à la fabrication, les explosifs peuvent se retrouver hors emballages homologués au transport (le danger est considéré 1.1 sauf étude qui démontre le contraire).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4. IDENTIFICATION DES MARQUAGES ET ETIQUETAGES SUR LES EMBALLAGES HOMOLOGUES AU TRANSPORT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1C7500"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 numéro UN.</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ADR, chapitre 5.2 Marquage et Etiquetage.</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1C7500"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 nom officiel de l'explosif.</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La mention de danger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l’ancienne division de risques</w:t>
            </w: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790528"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Le groupe de compatibilité.</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790528"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e) Le nom du fabricant.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5. CONFORMITE DU STOCKAGE</w:t>
            </w:r>
          </w:p>
          <w:p w:rsidR="00F63C36" w:rsidRPr="00CD31FB" w:rsidRDefault="00F63C36" w:rsidP="00CD31FB">
            <w:pPr>
              <w:rPr>
                <w:rFonts w:ascii="Times New Roman" w:hAnsi="Times New Roman"/>
                <w:b/>
              </w:rPr>
            </w:pP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45248A"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Les explosifs stockés dans le dépôt sont du type (détonateurs, dynamites, boosters, …) autorisé dans le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vMerge w:val="restart"/>
            <w:shd w:val="clear" w:color="auto" w:fill="auto"/>
          </w:tcPr>
          <w:p w:rsidR="00F63C36" w:rsidRPr="00CD31FB" w:rsidRDefault="00F63C36" w:rsidP="00CD31FB">
            <w:pPr>
              <w:rPr>
                <w:rFonts w:ascii="Times New Roman" w:hAnsi="Times New Roman"/>
              </w:rPr>
            </w:pPr>
          </w:p>
        </w:tc>
        <w:tc>
          <w:tcPr>
            <w:tcW w:w="372" w:type="dxa"/>
            <w:vMerge w:val="restart"/>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Les explosifs stockés dans un même dépôt sont compatibles (voir les groupes de compatibilité (A-B-C-D…).</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AASTP 1.</w:t>
            </w:r>
          </w:p>
          <w:p w:rsidR="00F63C36" w:rsidRPr="00CD31FB" w:rsidRDefault="00F63C36" w:rsidP="00CD31FB">
            <w:pPr>
              <w:rPr>
                <w:rFonts w:ascii="Times New Roman" w:hAnsi="Times New Roman"/>
              </w:rPr>
            </w:pPr>
            <w:r w:rsidRPr="00CD31FB">
              <w:rPr>
                <w:rFonts w:ascii="Times New Roman" w:hAnsi="Times New Roman"/>
              </w:rPr>
              <w:t>IATG 01.50 Système et Code de Classification des Risques</w:t>
            </w:r>
          </w:p>
          <w:p w:rsidR="00F63C36" w:rsidRPr="00CD31FB" w:rsidRDefault="00F63C36" w:rsidP="00CD31FB">
            <w:pPr>
              <w:rPr>
                <w:rFonts w:ascii="Times New Roman" w:hAnsi="Times New Roman"/>
              </w:rPr>
            </w:pPr>
            <w:r w:rsidRPr="00CD31FB">
              <w:rPr>
                <w:rFonts w:ascii="Times New Roman" w:hAnsi="Times New Roman"/>
              </w:rPr>
              <w:t>d’Explosion de l’ONU, chapitre 7 -Stockage et Groupes de Compatibilité</w:t>
            </w: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Les détonateurs sont stockés dans un dépôt séparé des autres explosifs.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Identification claire des substances explosibles à détruire (à l’écart).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e) Les déchets sont stockés dans des containers prévus à cet effet.</w:t>
            </w: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i/>
              </w:rPr>
            </w:pPr>
            <w:r w:rsidRPr="00CD31FB">
              <w:rPr>
                <w:rFonts w:ascii="Times New Roman" w:hAnsi="Times New Roman"/>
                <w:i/>
              </w:rPr>
              <w:t>Toutefois les détonateurs peuvent être conservés dans les magasins C, pourvus qu’ils soient contenus dans un coffre fermant à clé, les détonateurs ordinaires restant dans leur emballage d’origine.</w:t>
            </w: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45248A"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Aucun autre produit n'est autorisé à être stocké avec les substances explosibles dans le même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Arrêté d'autorisation/permis</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ADR (interdiction de chargement en commun, tableau 7.5.2.).</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g) Quantité de substances explosibles conforme au registre du jour et à la quantité autorisée.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6. EMPILEMENT DES EXPLOSIBLES</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tcBorders>
              <w:bottom w:val="nil"/>
            </w:tcBorders>
            <w:shd w:val="clear" w:color="auto" w:fill="D9D9D9"/>
          </w:tcPr>
          <w:p w:rsidR="00F63C36" w:rsidRPr="00CD31FB" w:rsidRDefault="00F63C36" w:rsidP="00CD31FB">
            <w:pPr>
              <w:rPr>
                <w:rFonts w:ascii="Times New Roman" w:hAnsi="Times New Roman"/>
              </w:rPr>
            </w:pPr>
          </w:p>
        </w:tc>
        <w:tc>
          <w:tcPr>
            <w:tcW w:w="350" w:type="dxa"/>
            <w:tcBorders>
              <w:bottom w:val="nil"/>
            </w:tcBorders>
            <w:shd w:val="clear" w:color="auto" w:fill="D9D9D9"/>
          </w:tcPr>
          <w:p w:rsidR="00F63C36" w:rsidRPr="00CD31FB" w:rsidRDefault="00F63C36" w:rsidP="00CD31FB">
            <w:pPr>
              <w:rPr>
                <w:rFonts w:ascii="Times New Roman" w:hAnsi="Times New Roman"/>
              </w:rPr>
            </w:pPr>
          </w:p>
        </w:tc>
        <w:tc>
          <w:tcPr>
            <w:tcW w:w="349" w:type="dxa"/>
            <w:tcBorders>
              <w:bottom w:val="nil"/>
            </w:tcBorders>
            <w:shd w:val="clear" w:color="auto" w:fill="D9D9D9"/>
          </w:tcPr>
          <w:p w:rsidR="00F63C36" w:rsidRPr="00CD31FB" w:rsidRDefault="00F63C36" w:rsidP="00CD31FB">
            <w:pPr>
              <w:rPr>
                <w:rFonts w:ascii="Times New Roman" w:hAnsi="Times New Roman"/>
              </w:rPr>
            </w:pPr>
          </w:p>
        </w:tc>
        <w:tc>
          <w:tcPr>
            <w:tcW w:w="420" w:type="dxa"/>
            <w:tcBorders>
              <w:bottom w:val="nil"/>
            </w:tcBorders>
            <w:shd w:val="clear" w:color="auto" w:fill="D9D9D9"/>
          </w:tcPr>
          <w:p w:rsidR="00F63C36" w:rsidRPr="00CD31FB" w:rsidRDefault="00F63C36" w:rsidP="00CD31FB">
            <w:pPr>
              <w:rPr>
                <w:rFonts w:ascii="Times New Roman" w:hAnsi="Times New Roman"/>
              </w:rPr>
            </w:pPr>
          </w:p>
        </w:tc>
        <w:tc>
          <w:tcPr>
            <w:tcW w:w="372" w:type="dxa"/>
            <w:tcBorders>
              <w:bottom w:val="nil"/>
            </w:tcBorders>
            <w:shd w:val="clear" w:color="auto" w:fill="D9D9D9"/>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Quand aucune méthode spécifique d’empilement d’un article particulier n’est prescrite, les explosifs doivent être empilés conformément aux instructions suivantes dans le but d’éviter tout risque de basculement ou d’écroulement de la pile et d’écrasement ou de déformation des conteneurs des couches inférieures: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tcBorders>
              <w:bottom w:val="nil"/>
            </w:tcBorders>
            <w:shd w:val="clear" w:color="auto" w:fill="auto"/>
          </w:tcPr>
          <w:p w:rsidR="00F63C36" w:rsidRPr="00CD31FB" w:rsidRDefault="00F63C36" w:rsidP="00CD31FB">
            <w:pPr>
              <w:rPr>
                <w:rFonts w:ascii="Times New Roman" w:hAnsi="Times New Roman"/>
              </w:rPr>
            </w:pPr>
          </w:p>
        </w:tc>
        <w:tc>
          <w:tcPr>
            <w:tcW w:w="350" w:type="dxa"/>
            <w:tcBorders>
              <w:bottom w:val="nil"/>
            </w:tcBorders>
            <w:shd w:val="clear" w:color="auto" w:fill="auto"/>
          </w:tcPr>
          <w:p w:rsidR="00F63C36" w:rsidRPr="00CD31FB" w:rsidRDefault="00F63C36" w:rsidP="00CD31FB">
            <w:pPr>
              <w:rPr>
                <w:rFonts w:ascii="Times New Roman" w:hAnsi="Times New Roman"/>
              </w:rPr>
            </w:pPr>
          </w:p>
        </w:tc>
        <w:tc>
          <w:tcPr>
            <w:tcW w:w="349" w:type="dxa"/>
            <w:tcBorders>
              <w:bottom w:val="nil"/>
            </w:tcBorders>
            <w:shd w:val="clear" w:color="auto" w:fill="auto"/>
          </w:tcPr>
          <w:p w:rsidR="00F63C36" w:rsidRPr="00CD31FB" w:rsidRDefault="00F63C36" w:rsidP="00CD31FB">
            <w:pPr>
              <w:rPr>
                <w:rFonts w:ascii="Times New Roman" w:hAnsi="Times New Roman"/>
              </w:rPr>
            </w:pPr>
          </w:p>
        </w:tc>
        <w:tc>
          <w:tcPr>
            <w:tcW w:w="420" w:type="dxa"/>
            <w:tcBorders>
              <w:bottom w:val="nil"/>
            </w:tcBorders>
            <w:shd w:val="clear" w:color="auto" w:fill="auto"/>
          </w:tcPr>
          <w:p w:rsidR="00F63C36" w:rsidRPr="00CD31FB" w:rsidRDefault="00F63C36" w:rsidP="00CD31FB">
            <w:pPr>
              <w:rPr>
                <w:rFonts w:ascii="Times New Roman" w:hAnsi="Times New Roman"/>
              </w:rPr>
            </w:pPr>
          </w:p>
        </w:tc>
        <w:tc>
          <w:tcPr>
            <w:tcW w:w="372" w:type="dxa"/>
            <w:tcBorders>
              <w:bottom w:val="nil"/>
            </w:tcBorders>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Les emballages doivent être couchés horizontalement, bien calés et empilés sur une hauteur de 1,60 m au plus, comptée à partir du sol du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AR du 23.09.1958.</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IATG 06.30 Stockage et Manutention , chapitre 5. - Empilement des munitions  et chapitre 6. Utilisation des étagères.</w:t>
            </w:r>
          </w:p>
        </w:tc>
        <w:tc>
          <w:tcPr>
            <w:tcW w:w="294" w:type="dxa"/>
            <w:tcBorders>
              <w:bottom w:val="nil"/>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tcBorders>
              <w:bottom w:val="nil"/>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tcBorders>
              <w:bottom w:val="nil"/>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tcBorders>
              <w:bottom w:val="nil"/>
            </w:tcBorders>
            <w:shd w:val="clear" w:color="auto" w:fill="auto"/>
          </w:tcPr>
          <w:p w:rsidR="00F63C36" w:rsidRPr="00CD31FB" w:rsidRDefault="00F63C36" w:rsidP="00CD31FB">
            <w:pPr>
              <w:rPr>
                <w:rFonts w:ascii="Times New Roman" w:hAnsi="Times New Roman"/>
              </w:rPr>
            </w:pPr>
          </w:p>
        </w:tc>
        <w:tc>
          <w:tcPr>
            <w:tcW w:w="372" w:type="dxa"/>
            <w:tcBorders>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La disposition générale des piles doit être telle qu’il existe toujours devant au moins l’une des faces de ces piles, une allée de 70 centimètres de largeur, de façon que chaque rangée puisse être facilement inspectée.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Les emballages de poudre doivent être placés sur des palettes en bois, ayant 10 centimètres de hauteur au moins.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Afin de favoriser la circulation de l’air, un espace suffisant doit être laissé entre les emballages et le sol, le plafond et les murs du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e) Pas de stockage immédiatement devant les portes.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Stock éloigné de toute source de chaleur et matière susceptible de produire des étincelles.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g) Marquage au sol délimitant les emplacements de stockage (pour inspection).</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tcBorders>
              <w:top w:val="nil"/>
              <w:bottom w:val="nil"/>
            </w:tcBorders>
            <w:shd w:val="clear" w:color="auto" w:fill="auto"/>
          </w:tcPr>
          <w:p w:rsidR="00F63C36" w:rsidRPr="00CD31FB" w:rsidRDefault="00F63C36" w:rsidP="00CD31FB">
            <w:pPr>
              <w:rPr>
                <w:rFonts w:ascii="Times New Roman" w:hAnsi="Times New Roman"/>
              </w:rPr>
            </w:pPr>
          </w:p>
        </w:tc>
        <w:tc>
          <w:tcPr>
            <w:tcW w:w="350" w:type="dxa"/>
            <w:tcBorders>
              <w:top w:val="nil"/>
              <w:bottom w:val="nil"/>
            </w:tcBorders>
            <w:shd w:val="clear" w:color="auto" w:fill="auto"/>
          </w:tcPr>
          <w:p w:rsidR="00F63C36" w:rsidRPr="00CD31FB" w:rsidRDefault="00F63C36" w:rsidP="00CD31FB">
            <w:pPr>
              <w:rPr>
                <w:rFonts w:ascii="Times New Roman" w:hAnsi="Times New Roman"/>
              </w:rPr>
            </w:pPr>
          </w:p>
        </w:tc>
        <w:tc>
          <w:tcPr>
            <w:tcW w:w="349" w:type="dxa"/>
            <w:tcBorders>
              <w:top w:val="nil"/>
              <w:bottom w:val="nil"/>
            </w:tcBorders>
            <w:shd w:val="clear" w:color="auto" w:fill="auto"/>
          </w:tcPr>
          <w:p w:rsidR="00F63C36" w:rsidRPr="00CD31FB" w:rsidRDefault="00F63C36" w:rsidP="00CD31FB">
            <w:pPr>
              <w:rPr>
                <w:rFonts w:ascii="Times New Roman" w:hAnsi="Times New Roman"/>
              </w:rPr>
            </w:pPr>
          </w:p>
        </w:tc>
        <w:tc>
          <w:tcPr>
            <w:tcW w:w="420" w:type="dxa"/>
            <w:tcBorders>
              <w:top w:val="nil"/>
              <w:bottom w:val="nil"/>
            </w:tcBorders>
            <w:shd w:val="clear" w:color="auto" w:fill="auto"/>
          </w:tcPr>
          <w:p w:rsidR="00F63C36" w:rsidRPr="00CD31FB" w:rsidRDefault="00F63C36" w:rsidP="00CD31FB">
            <w:pPr>
              <w:rPr>
                <w:rFonts w:ascii="Times New Roman" w:hAnsi="Times New Roman"/>
              </w:rPr>
            </w:pPr>
          </w:p>
        </w:tc>
        <w:tc>
          <w:tcPr>
            <w:tcW w:w="372" w:type="dxa"/>
            <w:tcBorders>
              <w:top w:val="nil"/>
              <w:bottom w:val="nil"/>
            </w:tcBorders>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7. PROTECTION DES EXPLOSIFS CONTRE LES ELEMENTS NATURELS</w:t>
            </w:r>
          </w:p>
          <w:p w:rsidR="00F63C36" w:rsidRPr="00CD31FB" w:rsidRDefault="00F63C36" w:rsidP="00CD31FB">
            <w:pPr>
              <w:rPr>
                <w:rFonts w:ascii="Times New Roman" w:hAnsi="Times New Roman"/>
                <w:b/>
              </w:rPr>
            </w:pP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tcBorders>
              <w:top w:val="single" w:sz="4" w:space="0" w:color="auto"/>
            </w:tcBorders>
            <w:shd w:val="clear" w:color="auto" w:fill="D9D9D9"/>
          </w:tcPr>
          <w:p w:rsidR="00F63C36" w:rsidRPr="00CD31FB" w:rsidRDefault="00F63C36" w:rsidP="00CD31FB">
            <w:pPr>
              <w:rPr>
                <w:rFonts w:ascii="Times New Roman" w:hAnsi="Times New Roman"/>
              </w:rPr>
            </w:pPr>
          </w:p>
        </w:tc>
        <w:tc>
          <w:tcPr>
            <w:tcW w:w="350" w:type="dxa"/>
            <w:tcBorders>
              <w:top w:val="single" w:sz="4" w:space="0" w:color="auto"/>
            </w:tcBorders>
            <w:shd w:val="clear" w:color="auto" w:fill="D9D9D9"/>
          </w:tcPr>
          <w:p w:rsidR="00F63C36" w:rsidRPr="00CD31FB" w:rsidRDefault="00F63C36" w:rsidP="00CD31FB">
            <w:pPr>
              <w:rPr>
                <w:rFonts w:ascii="Times New Roman" w:hAnsi="Times New Roman"/>
              </w:rPr>
            </w:pPr>
          </w:p>
        </w:tc>
        <w:tc>
          <w:tcPr>
            <w:tcW w:w="349" w:type="dxa"/>
            <w:tcBorders>
              <w:top w:val="single" w:sz="4" w:space="0" w:color="auto"/>
            </w:tcBorders>
            <w:shd w:val="clear" w:color="auto" w:fill="D9D9D9"/>
          </w:tcPr>
          <w:p w:rsidR="00F63C36" w:rsidRPr="00CD31FB" w:rsidRDefault="00F63C36" w:rsidP="00CD31FB">
            <w:pPr>
              <w:rPr>
                <w:rFonts w:ascii="Times New Roman" w:hAnsi="Times New Roman"/>
              </w:rPr>
            </w:pPr>
          </w:p>
        </w:tc>
        <w:tc>
          <w:tcPr>
            <w:tcW w:w="420" w:type="dxa"/>
            <w:tcBorders>
              <w:top w:val="single" w:sz="4" w:space="0" w:color="auto"/>
            </w:tcBorders>
            <w:shd w:val="clear" w:color="auto" w:fill="D9D9D9"/>
          </w:tcPr>
          <w:p w:rsidR="00F63C36" w:rsidRPr="00CD31FB" w:rsidRDefault="00F63C36" w:rsidP="00CD31FB">
            <w:pPr>
              <w:rPr>
                <w:rFonts w:ascii="Times New Roman" w:hAnsi="Times New Roman"/>
              </w:rPr>
            </w:pPr>
          </w:p>
        </w:tc>
        <w:tc>
          <w:tcPr>
            <w:tcW w:w="372" w:type="dxa"/>
            <w:tcBorders>
              <w:top w:val="single" w:sz="4" w:space="0" w:color="auto"/>
            </w:tcBorders>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Les piles doivent être placées à au moins 1 m des portes, afin d’être protégées de l’ensoleillement direct, de la pluie, de la lumière, …. (si ce n’est pas possible, un auvent doit être installé à l’entrée du dépôt).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tcBorders>
              <w:top w:val="single" w:sz="4" w:space="0" w:color="auto"/>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tcBorders>
              <w:top w:val="single" w:sz="4" w:space="0" w:color="auto"/>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tcBorders>
              <w:top w:val="single" w:sz="4" w:space="0" w:color="auto"/>
            </w:tcBorders>
            <w:shd w:val="clear" w:color="auto" w:fill="auto"/>
          </w:tcPr>
          <w:p w:rsidR="00F63C36" w:rsidRPr="00CD31FB" w:rsidRDefault="00F63C36" w:rsidP="00CD31FB">
            <w:pPr>
              <w:rPr>
                <w:rFonts w:ascii="Times New Roman" w:hAnsi="Times New Roman"/>
              </w:rPr>
            </w:pPr>
          </w:p>
        </w:tc>
        <w:tc>
          <w:tcPr>
            <w:tcW w:w="420" w:type="dxa"/>
            <w:tcBorders>
              <w:top w:val="single" w:sz="4" w:space="0" w:color="auto"/>
            </w:tcBorders>
            <w:shd w:val="clear" w:color="auto" w:fill="auto"/>
          </w:tcPr>
          <w:p w:rsidR="00F63C36" w:rsidRPr="00CD31FB" w:rsidRDefault="00F63C36" w:rsidP="00CD31FB">
            <w:pPr>
              <w:rPr>
                <w:rFonts w:ascii="Times New Roman" w:hAnsi="Times New Roman"/>
              </w:rPr>
            </w:pPr>
          </w:p>
        </w:tc>
        <w:tc>
          <w:tcPr>
            <w:tcW w:w="372" w:type="dxa"/>
            <w:tcBorders>
              <w:top w:val="single" w:sz="4" w:space="0" w:color="auto"/>
            </w:tcBorders>
            <w:shd w:val="clear" w:color="auto" w:fill="auto"/>
          </w:tcPr>
          <w:p w:rsidR="00F63C36" w:rsidRPr="00CD31FB" w:rsidRDefault="00F63C36" w:rsidP="00CD31FB">
            <w:pPr>
              <w:rPr>
                <w:rFonts w:ascii="Times New Roman" w:hAnsi="Times New Roman"/>
              </w:rPr>
            </w:pPr>
          </w:p>
        </w:tc>
      </w:tr>
      <w:tr w:rsidR="00F63C36" w:rsidRPr="00121CA4"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Des moyens doivent être mis en place pour protéger les piles des rongeurs.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tcBorders>
              <w:top w:val="single" w:sz="4" w:space="0" w:color="auto"/>
            </w:tcBorders>
            <w:shd w:val="clear" w:color="auto" w:fill="auto"/>
          </w:tcPr>
          <w:p w:rsidR="00F63C36" w:rsidRPr="00CD31FB" w:rsidRDefault="00F63C36" w:rsidP="00CD31FB">
            <w:pPr>
              <w:rPr>
                <w:rFonts w:ascii="Times New Roman" w:hAnsi="Times New Roman"/>
              </w:rPr>
            </w:pPr>
          </w:p>
        </w:tc>
        <w:tc>
          <w:tcPr>
            <w:tcW w:w="2556" w:type="dxa"/>
            <w:tcBorders>
              <w:top w:val="nil"/>
            </w:tcBorders>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8. PROPRETE A l'INTERIEUR DU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AA17D9"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Pas de poussière accumulée.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vMerge w:val="restart"/>
            <w:shd w:val="clear" w:color="auto" w:fill="auto"/>
          </w:tcPr>
          <w:p w:rsidR="00F63C36" w:rsidRPr="00CD31FB" w:rsidRDefault="00F63C36" w:rsidP="00CD31FB">
            <w:pPr>
              <w:rPr>
                <w:rFonts w:ascii="Times New Roman" w:hAnsi="Times New Roman"/>
              </w:rPr>
            </w:pPr>
          </w:p>
        </w:tc>
        <w:tc>
          <w:tcPr>
            <w:tcW w:w="372" w:type="dxa"/>
            <w:vMerge w:val="restart"/>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Pas de stockage de palettes.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Pas de cartons vides.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AA17D9"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Pas d'explosifs déversés.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e) Pas d'eau (sol en pente).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Pas de papiers, chiffons, déchets,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g) Pas d'engins de manutentions,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vMerge/>
            <w:shd w:val="clear" w:color="auto" w:fill="auto"/>
          </w:tcPr>
          <w:p w:rsidR="00F63C36" w:rsidRPr="00CD31FB" w:rsidRDefault="00F63C36" w:rsidP="00CD31FB">
            <w:pPr>
              <w:rPr>
                <w:rFonts w:ascii="Times New Roman" w:hAnsi="Times New Roman"/>
              </w:rPr>
            </w:pPr>
          </w:p>
        </w:tc>
        <w:tc>
          <w:tcPr>
            <w:tcW w:w="350" w:type="dxa"/>
            <w:vMerge/>
            <w:shd w:val="clear" w:color="auto" w:fill="auto"/>
          </w:tcPr>
          <w:p w:rsidR="00F63C36" w:rsidRPr="00CD31FB" w:rsidRDefault="00F63C36" w:rsidP="00CD31FB">
            <w:pPr>
              <w:rPr>
                <w:rFonts w:ascii="Times New Roman" w:hAnsi="Times New Roman"/>
              </w:rPr>
            </w:pPr>
          </w:p>
        </w:tc>
        <w:tc>
          <w:tcPr>
            <w:tcW w:w="349" w:type="dxa"/>
            <w:vMerge/>
            <w:shd w:val="clear" w:color="auto" w:fill="auto"/>
          </w:tcPr>
          <w:p w:rsidR="00F63C36" w:rsidRPr="00CD31FB" w:rsidRDefault="00F63C36" w:rsidP="00CD31FB">
            <w:pPr>
              <w:rPr>
                <w:rFonts w:ascii="Times New Roman" w:hAnsi="Times New Roman"/>
              </w:rPr>
            </w:pPr>
          </w:p>
        </w:tc>
        <w:tc>
          <w:tcPr>
            <w:tcW w:w="420" w:type="dxa"/>
            <w:vMerge/>
            <w:shd w:val="clear" w:color="auto" w:fill="auto"/>
          </w:tcPr>
          <w:p w:rsidR="00F63C36" w:rsidRPr="00CD31FB" w:rsidRDefault="00F63C36" w:rsidP="00CD31FB">
            <w:pPr>
              <w:rPr>
                <w:rFonts w:ascii="Times New Roman" w:hAnsi="Times New Roman"/>
              </w:rPr>
            </w:pPr>
          </w:p>
        </w:tc>
        <w:tc>
          <w:tcPr>
            <w:tcW w:w="372" w:type="dxa"/>
            <w:vMerge/>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9. SOL/PLANCHER, PAROIS et PLAFOND DU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Propres, aucune présence de matière explosive déversée, d'humidité, de déchets, de poussières, de substances abrasives telles que laine d'acier, sable, gravier etc.</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Lisses, sans trou et crevasse afin d'empêcher la possibilité d'accumulation de poussières, d'explosifs ou d'autres substances.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Recouverts de matière anti-étincelante si besoin (les explosifs ne sont jamais en contact avec les matériaux ou objets pouvant être à l’origine d’étincelles).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2556" w:type="dxa"/>
            <w:vMerge/>
            <w:tcBorders>
              <w:bottom w:val="nil"/>
            </w:tcBorders>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Faciles à nettoyer.</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tcBorders>
              <w:top w:val="single" w:sz="4" w:space="0" w:color="auto"/>
            </w:tcBorders>
            <w:shd w:val="clear" w:color="auto" w:fill="auto"/>
          </w:tcPr>
          <w:p w:rsidR="00F63C36" w:rsidRPr="00CD31FB" w:rsidRDefault="00F63C36" w:rsidP="00CD31FB">
            <w:pPr>
              <w:rPr>
                <w:rFonts w:ascii="Times New Roman" w:hAnsi="Times New Roman"/>
              </w:rPr>
            </w:pPr>
          </w:p>
        </w:tc>
        <w:tc>
          <w:tcPr>
            <w:tcW w:w="2556" w:type="dxa"/>
            <w:tcBorders>
              <w:top w:val="nil"/>
            </w:tcBorders>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055E53"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10. INTERDICTIONS DANS LE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285C29"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Absence de canalisation de gaz ou de liquide inflammable.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AR du 23.09.1958.</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IATG 06.10 Contrôle des installations d’explosifs, 5. Sécurité.</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lang w:val="nl-NL"/>
              </w:rPr>
            </w:pPr>
            <w:r w:rsidRPr="00CD31FB">
              <w:rPr>
                <w:rFonts w:ascii="Times New Roman" w:hAnsi="Times New Roman"/>
                <w:lang w:val="nl-BE"/>
              </w:rPr>
              <w:t>Besluit van de Vlaamse regering van 1 juni 1995 houdende algemene en sectorale bepalingen inzake milieuhygiëne (VLAREM II)</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Aucun autre local ne peut se trouver au-dessus ou en-dessous du dépôt (sauf si prévu dans l’autorisation/permis).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c) L'introduction de tout objet de nature à provoquer le feu. </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 xml:space="preserve">Par exemple, une flamme nue, un éclairage simple, un poêle, des matières inflammables, des matières facilement combustibles, </w:t>
            </w:r>
            <w:r w:rsidRPr="00CD31FB">
              <w:rPr>
                <w:rFonts w:ascii="Times New Roman" w:hAnsi="Times New Roman"/>
                <w:b/>
              </w:rPr>
              <w:t>des outils produisant des étincelles, des cigarettes,</w:t>
            </w:r>
            <w:r w:rsidRPr="00CD31FB">
              <w:rPr>
                <w:rFonts w:ascii="Times New Roman" w:hAnsi="Times New Roman"/>
              </w:rPr>
              <w:t xml:space="preserve"> des briquets, des allumettes, des matières ou objets susceptibles de s'enflammer spontanément tels que le charbon de bois, pulvérisé ou non, les déchets, chiffons et cotons imbibés d'huile ou de graisse, des armes à feu, …</w:t>
            </w:r>
          </w:p>
          <w:p w:rsidR="00F63C36" w:rsidRPr="00CD31FB" w:rsidRDefault="00F63C36" w:rsidP="00CD31FB">
            <w:pPr>
              <w:rPr>
                <w:rFonts w:ascii="Times New Roman" w:hAnsi="Times New Roman"/>
                <w:i/>
              </w:rPr>
            </w:pPr>
            <w:r w:rsidRPr="00CD31FB">
              <w:rPr>
                <w:rFonts w:ascii="Times New Roman" w:hAnsi="Times New Roman"/>
                <w:i/>
              </w:rPr>
              <w:t>Rem : On vise donc ici les éléments « ignition » du triangle du feu ou les substances qui s’enflamment spontanément. Le but étant aussi d’éviter l’ajout de charge calorifique supplémentaire inutile.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Affichage de l’interdiction sur les portes du dépôt ou sur la barrière de la zone pyrotechnique.</w:t>
            </w: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De manipuler les explosifs dans le dépôt (sauf si autorisation explicite).</w:t>
            </w:r>
            <w:r w:rsidRPr="00CD31FB">
              <w:rPr>
                <w:rFonts w:ascii="Times New Roman" w:hAnsi="Times New Roman"/>
              </w:rPr>
              <w:br/>
              <w:t>Pas de picking</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E263D5" w:rsidTr="00CD31FB">
        <w:tc>
          <w:tcPr>
            <w:tcW w:w="3256" w:type="dxa"/>
            <w:shd w:val="clear" w:color="auto" w:fill="auto"/>
          </w:tcPr>
          <w:p w:rsidR="00F63C36" w:rsidRPr="00CD31FB" w:rsidRDefault="00F63C36" w:rsidP="00CD31FB">
            <w:pPr>
              <w:rPr>
                <w:rFonts w:ascii="Times New Roman" w:hAnsi="Times New Roman"/>
                <w:i/>
              </w:rPr>
            </w:pPr>
            <w:r w:rsidRPr="00CD31FB">
              <w:rPr>
                <w:rFonts w:ascii="Times New Roman" w:hAnsi="Times New Roman"/>
              </w:rPr>
              <w:t xml:space="preserve">e) L'introduction de GSM dans le stockage de matériels électro-pyrotechnique </w:t>
            </w:r>
            <w:r w:rsidRPr="00CD31FB">
              <w:rPr>
                <w:rFonts w:ascii="Times New Roman" w:hAnsi="Times New Roman"/>
                <w:i/>
              </w:rPr>
              <w:t>(possibilité d'interférences susceptibles de présenter un risque d’amorçage des matériels comportant des dispositifs électro-pyrotechniques).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Affichage de cette interdiction.</w:t>
            </w: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La présence de mode de chauffage artificiel.</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i/>
              </w:rPr>
            </w:pPr>
            <w:r w:rsidRPr="00CD31FB">
              <w:rPr>
                <w:rFonts w:ascii="Times New Roman" w:hAnsi="Times New Roman"/>
                <w:i/>
              </w:rPr>
              <w:t>Nota. Sauf autorisation spéciale dans l'autorisation/permis (pour matrice par ex). (</w:t>
            </w:r>
            <w:proofErr w:type="spellStart"/>
            <w:r w:rsidRPr="00CD31FB">
              <w:rPr>
                <w:rFonts w:ascii="Times New Roman" w:hAnsi="Times New Roman"/>
                <w:i/>
              </w:rPr>
              <w:t>cfr</w:t>
            </w:r>
            <w:proofErr w:type="spellEnd"/>
            <w:r w:rsidRPr="00CD31FB">
              <w:rPr>
                <w:rFonts w:ascii="Times New Roman" w:hAnsi="Times New Roman"/>
                <w:i/>
              </w:rPr>
              <w:t xml:space="preserve"> point 12)</w:t>
            </w:r>
          </w:p>
          <w:p w:rsidR="00F63C36" w:rsidRPr="00CD31FB" w:rsidRDefault="00F63C36" w:rsidP="00CD31FB">
            <w:pPr>
              <w:rPr>
                <w:rFonts w:ascii="Times New Roman" w:hAnsi="Times New Roman"/>
                <w:i/>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g) La présence/utilisation d’outils (balais, ramassettes, ustensiles de nettoyage, …) en métaux susceptibles de produire des étincelles.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i/>
              </w:rPr>
            </w:pPr>
          </w:p>
        </w:tc>
        <w:tc>
          <w:tcPr>
            <w:tcW w:w="283" w:type="dxa"/>
            <w:shd w:val="clear" w:color="auto" w:fill="auto"/>
          </w:tcPr>
          <w:p w:rsidR="00F63C36" w:rsidRPr="00CD31FB" w:rsidRDefault="00F63C36" w:rsidP="00CD31FB">
            <w:pPr>
              <w:rPr>
                <w:rFonts w:ascii="Times New Roman" w:hAnsi="Times New Roman"/>
                <w:i/>
              </w:rPr>
            </w:pPr>
          </w:p>
        </w:tc>
        <w:tc>
          <w:tcPr>
            <w:tcW w:w="283" w:type="dxa"/>
            <w:shd w:val="clear" w:color="auto" w:fill="auto"/>
          </w:tcPr>
          <w:p w:rsidR="00F63C36" w:rsidRPr="00CD31FB" w:rsidRDefault="00F63C36" w:rsidP="00CD31FB">
            <w:pPr>
              <w:rPr>
                <w:rFonts w:ascii="Times New Roman" w:hAnsi="Times New Roman"/>
                <w:i/>
              </w:rPr>
            </w:pPr>
          </w:p>
        </w:tc>
        <w:tc>
          <w:tcPr>
            <w:tcW w:w="5103" w:type="dxa"/>
            <w:shd w:val="clear" w:color="auto" w:fill="auto"/>
          </w:tcPr>
          <w:p w:rsidR="00F63C36" w:rsidRPr="00CD31FB" w:rsidRDefault="00F63C36" w:rsidP="00CD31FB">
            <w:pPr>
              <w:rPr>
                <w:rFonts w:ascii="Times New Roman" w:hAnsi="Times New Roman"/>
                <w:i/>
              </w:rPr>
            </w:pPr>
            <w:r w:rsidRPr="00CD31FB">
              <w:rPr>
                <w:rFonts w:ascii="Times New Roman" w:hAnsi="Times New Roman"/>
                <w:i/>
              </w:rPr>
              <w:t xml:space="preserve">Les matériaux ou objets (outils, étagères, etc.) qui ne produisent pas d'étincelles ou qui produisent peu d'étincelles, sont des objets faits de métaux tels que l'aluminium, le laiton, le bronze, le Monel (alliage cuivre-nickel), les alliages cuivre-aluminium (bronze d'aluminium) ou les alliages cuivre-béryllium (bronze de béryllium). </w:t>
            </w:r>
          </w:p>
          <w:p w:rsidR="00F63C36" w:rsidRPr="00CD31FB" w:rsidRDefault="00F63C36" w:rsidP="00CD31FB">
            <w:pPr>
              <w:rPr>
                <w:rFonts w:ascii="Times New Roman" w:hAnsi="Times New Roman"/>
                <w:i/>
              </w:rPr>
            </w:pPr>
            <w:r w:rsidRPr="00CD31FB">
              <w:rPr>
                <w:rFonts w:ascii="Times New Roman" w:hAnsi="Times New Roman"/>
                <w:i/>
              </w:rPr>
              <w:t>Les matières non métalliques comme le bois sont plus appropriées pour fabriquer certains objets, ces matières ne posent pas un risque d'étincelles dû à la friction.</w:t>
            </w:r>
          </w:p>
          <w:p w:rsidR="00F63C36" w:rsidRPr="00CD31FB" w:rsidRDefault="00F63C36" w:rsidP="00CD31FB">
            <w:pPr>
              <w:rPr>
                <w:rFonts w:ascii="Times New Roman" w:hAnsi="Times New Roman"/>
                <w:i/>
              </w:rPr>
            </w:pPr>
            <w:r w:rsidRPr="00CD31FB">
              <w:rPr>
                <w:rFonts w:ascii="Times New Roman" w:hAnsi="Times New Roman"/>
                <w:i/>
              </w:rPr>
              <w:t>Les outils à main couramment utilisés sont souvent fabriqués en alliage d'acier qui est un matériau pouvant être à l'origine des étincelles.</w:t>
            </w:r>
          </w:p>
          <w:p w:rsidR="00F63C36" w:rsidRPr="00CD31FB" w:rsidRDefault="00F63C36" w:rsidP="00CD31FB">
            <w:pPr>
              <w:rPr>
                <w:rFonts w:ascii="Times New Roman" w:hAnsi="Times New Roman"/>
                <w:i/>
              </w:rPr>
            </w:pPr>
            <w:r w:rsidRPr="00CD31FB">
              <w:rPr>
                <w:rFonts w:ascii="Times New Roman" w:hAnsi="Times New Roman"/>
                <w:i/>
              </w:rPr>
              <w:t>Si les étagères sont en acier et non revêtues de deux couches de peinture au moins ou plastifiées d’origine, elles sont considérées comme objets pouvant être à l'origine d’étincelles.</w:t>
            </w:r>
          </w:p>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334087"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11. INSTALLATION ELECTRIQUE</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En bon état général.</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IATG 05.40 Normes de sécurité des installations</w:t>
            </w:r>
          </w:p>
          <w:p w:rsidR="00F63C36" w:rsidRPr="00CD31FB" w:rsidRDefault="00F63C36" w:rsidP="00CD31FB">
            <w:pPr>
              <w:rPr>
                <w:rFonts w:ascii="Times New Roman" w:hAnsi="Times New Roman"/>
              </w:rPr>
            </w:pPr>
            <w:r w:rsidRPr="00CD31FB">
              <w:rPr>
                <w:rFonts w:ascii="Times New Roman" w:hAnsi="Times New Roman"/>
              </w:rPr>
              <w:t>électriques</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Les tableaux électriques sont situés à l’extérieur du dépôt (possibilité de coupure d’électricité générale dans un endroit sécurisé).</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Les interrupteurs sont bipolaires et placés à l’extérieur du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Tous les câblages sont protégés par des gaines rigides.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e) Les câblages extérieurs au dépôt sont enterrés.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Les gaines et les fixations des éclairages sont protégées des dégradations par une protection physique (cage) ou par leur emplacement.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g) Le matériel électrique présente un degré de protection égal à IP55, IP65 ou ATEX.</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h) L'éclairage ne reste pas allumé lorsque le dépôt est inoccupé.</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12. INSALLATION DE CHAUFFAGE</w:t>
            </w:r>
          </w:p>
          <w:p w:rsidR="00F63C36" w:rsidRPr="00CD31FB" w:rsidRDefault="00F63C36" w:rsidP="00CD31FB">
            <w:pPr>
              <w:rPr>
                <w:rFonts w:ascii="Times New Roman" w:hAnsi="Times New Roman"/>
                <w:b/>
              </w:rPr>
            </w:pP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r w:rsidRPr="00CD31FB">
              <w:rPr>
                <w:rFonts w:ascii="Times New Roman" w:hAnsi="Times New Roman"/>
                <w:b/>
              </w:rPr>
              <w:t>Normalement interdit, sauf autorisation explicite/permis</w:t>
            </w: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FD4D5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En bon état général.</w:t>
            </w:r>
          </w:p>
          <w:p w:rsidR="00F63C36" w:rsidRPr="00CD31FB" w:rsidRDefault="00F63C36" w:rsidP="00CD31FB">
            <w:pPr>
              <w:rPr>
                <w:rFonts w:ascii="Times New Roman" w:hAnsi="Times New Roman"/>
                <w:i/>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vMerge w:val="restart"/>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IATG 05.40 Normes de sécurité des installations</w:t>
            </w:r>
          </w:p>
          <w:p w:rsidR="00F63C36" w:rsidRPr="00CD31FB" w:rsidRDefault="00F63C36" w:rsidP="00CD31FB">
            <w:pPr>
              <w:rPr>
                <w:rFonts w:ascii="Times New Roman" w:hAnsi="Times New Roman"/>
                <w:lang w:val="nl-NL"/>
              </w:rPr>
            </w:pPr>
            <w:proofErr w:type="spellStart"/>
            <w:r w:rsidRPr="00CD31FB">
              <w:rPr>
                <w:rFonts w:ascii="Times New Roman" w:hAnsi="Times New Roman"/>
                <w:lang w:val="nl-NL"/>
              </w:rPr>
              <w:t>électriques</w:t>
            </w:r>
            <w:proofErr w:type="spellEnd"/>
            <w:r w:rsidRPr="00CD31FB">
              <w:rPr>
                <w:rFonts w:ascii="Times New Roman" w:hAnsi="Times New Roman"/>
                <w:lang w:val="nl-NL"/>
              </w:rPr>
              <w:t>.</w:t>
            </w:r>
          </w:p>
          <w:p w:rsidR="00F63C36" w:rsidRPr="00CD31FB" w:rsidRDefault="00F63C36" w:rsidP="00CD31FB">
            <w:pPr>
              <w:rPr>
                <w:rFonts w:ascii="Times New Roman" w:hAnsi="Times New Roman"/>
                <w:lang w:val="nl-NL"/>
              </w:rPr>
            </w:pPr>
          </w:p>
          <w:p w:rsidR="00F63C36" w:rsidRPr="00CD31FB" w:rsidRDefault="00F63C36" w:rsidP="00CD31FB">
            <w:pPr>
              <w:rPr>
                <w:rFonts w:ascii="Times New Roman" w:hAnsi="Times New Roman"/>
                <w:lang w:val="nl-NL"/>
              </w:rPr>
            </w:pPr>
            <w:r w:rsidRPr="00CD31FB">
              <w:rPr>
                <w:rFonts w:ascii="Times New Roman" w:hAnsi="Times New Roman"/>
                <w:lang w:val="nl-BE"/>
              </w:rPr>
              <w:t>Besluit van de Vlaamse regering van 1 juni 1995 houdende algemene en sectorale bepalingen inzake milieuhygiëne (VLAREM II).</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rPr>
          <w:trHeight w:val="567"/>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Chauffage indirect et sûr tel que le chauffage à eau chaude, à la vapeur ou à air chaud.</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i/>
              </w:rPr>
            </w:pPr>
            <w:r w:rsidRPr="00CD31FB">
              <w:rPr>
                <w:rFonts w:ascii="Times New Roman" w:hAnsi="Times New Roman"/>
                <w:i/>
              </w:rPr>
              <w:t>Nota. L'utilisation de convecteurs électriques pourrait être autorisée par l'autorité d'autorisation si l'indice de protection aux poussières et chauffage est adapté, min IP55.</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vMerge/>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c) La source de chauffage se situe en dehors de l’aire de stockage, de manipulation ou d’emploi.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 xml:space="preserve">13. EQUIPEMENTS DE PROTECTION CONTRE INCENDIE </w:t>
            </w:r>
          </w:p>
          <w:p w:rsidR="00F63C36" w:rsidRPr="00CD31FB" w:rsidRDefault="00F63C36" w:rsidP="00CD31FB">
            <w:pPr>
              <w:rPr>
                <w:rFonts w:ascii="Times New Roman" w:hAnsi="Times New Roman"/>
                <w:b/>
                <w:i/>
                <w:iCs/>
              </w:rPr>
            </w:pPr>
            <w:r w:rsidRPr="00CD31FB">
              <w:rPr>
                <w:rFonts w:ascii="Times New Roman" w:hAnsi="Times New Roman"/>
                <w:b/>
                <w:i/>
                <w:iCs/>
              </w:rPr>
              <w:t>équipements portables, extincteurs, équipements fixes, systèmes automatiques d'extinction d'incendie.</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790528"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En bon état général.</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790528"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Protégés contre le gel.</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Facilement accessibles.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Judicieusement repartis.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712F06"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e) Identifiés sur place.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14C26" w:rsidTr="00CD31FB">
        <w:trPr>
          <w:trHeight w:val="365"/>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f) Extincteurs contrôlés 1x/an.</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rPr>
          <w:trHeight w:val="142"/>
        </w:trPr>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14. EQUIPEMENTS DE MANUTENTION MECANIQUES (MHE)</w:t>
            </w:r>
          </w:p>
          <w:p w:rsidR="00F63C36" w:rsidRPr="00CD31FB" w:rsidRDefault="00F63C36" w:rsidP="00CD31FB">
            <w:pPr>
              <w:rPr>
                <w:rFonts w:ascii="Times New Roman" w:hAnsi="Times New Roman"/>
                <w:b/>
                <w:i/>
                <w:iCs/>
              </w:rPr>
            </w:pPr>
            <w:r w:rsidRPr="00CD31FB">
              <w:rPr>
                <w:rFonts w:ascii="Times New Roman" w:hAnsi="Times New Roman"/>
                <w:b/>
                <w:i/>
                <w:iCs/>
              </w:rPr>
              <w:t>les chariots élévateurs pour le (dé)chargement des explosifs</w:t>
            </w:r>
            <w:r w:rsidRPr="00CD31FB">
              <w:rPr>
                <w:rFonts w:ascii="Times New Roman" w:hAnsi="Times New Roman"/>
                <w:b/>
              </w:rPr>
              <w: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rPr>
          <w:trHeight w:val="659"/>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a) Seuls les MHE ne pouvant être à l’origine d’une explosion sont admis dans les dépôts (électriques ou diesel – </w:t>
            </w:r>
            <w:proofErr w:type="spellStart"/>
            <w:r w:rsidRPr="00CD31FB">
              <w:rPr>
                <w:rFonts w:ascii="Times New Roman" w:hAnsi="Times New Roman"/>
              </w:rPr>
              <w:t>cfr</w:t>
            </w:r>
            <w:proofErr w:type="spellEnd"/>
            <w:r w:rsidRPr="00CD31FB">
              <w:rPr>
                <w:rFonts w:ascii="Times New Roman" w:hAnsi="Times New Roman"/>
              </w:rPr>
              <w:t xml:space="preserve"> autorisation/permis).</w:t>
            </w:r>
            <w:r w:rsidRPr="00CD31FB" w:rsidDel="0032143E">
              <w:rPr>
                <w:rFonts w:ascii="Times New Roman" w:hAnsi="Times New Roman"/>
              </w:rPr>
              <w:t xml:space="preserve">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IATG 05.50 Véhicules et équipements de</w:t>
            </w:r>
          </w:p>
          <w:p w:rsidR="00F63C36" w:rsidRPr="00CD31FB" w:rsidRDefault="00F63C36" w:rsidP="00CD31FB">
            <w:pPr>
              <w:rPr>
                <w:rFonts w:ascii="Times New Roman" w:hAnsi="Times New Roman"/>
              </w:rPr>
            </w:pPr>
            <w:r w:rsidRPr="00CD31FB">
              <w:rPr>
                <w:rFonts w:ascii="Times New Roman" w:hAnsi="Times New Roman"/>
              </w:rPr>
              <w:t>manutention mécanique (MHE) dans les</w:t>
            </w:r>
          </w:p>
          <w:p w:rsidR="00F63C36" w:rsidRPr="00CD31FB" w:rsidRDefault="00F63C36" w:rsidP="00CD31FB">
            <w:pPr>
              <w:rPr>
                <w:rFonts w:ascii="Times New Roman" w:hAnsi="Times New Roman"/>
              </w:rPr>
            </w:pPr>
            <w:r w:rsidRPr="00CD31FB">
              <w:rPr>
                <w:rFonts w:ascii="Times New Roman" w:hAnsi="Times New Roman"/>
              </w:rPr>
              <w:t>installations d’explosifs, annexe E.</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IATG 05.40 Normes de sécurité des installations</w:t>
            </w:r>
          </w:p>
          <w:p w:rsidR="00F63C36" w:rsidRPr="00CD31FB" w:rsidRDefault="00F63C36" w:rsidP="00CD31FB">
            <w:pPr>
              <w:rPr>
                <w:rFonts w:ascii="Times New Roman" w:hAnsi="Times New Roman"/>
              </w:rPr>
            </w:pPr>
            <w:r w:rsidRPr="00CD31FB">
              <w:rPr>
                <w:rFonts w:ascii="Times New Roman" w:hAnsi="Times New Roman"/>
              </w:rPr>
              <w:t>électriques.</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B4285A" w:rsidTr="00CD31FB">
        <w:trPr>
          <w:trHeight w:val="181"/>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En bon état général et entretenus.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rPr>
          <w:trHeight w:val="657"/>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 ravitaillement des MHE est fait dans les zones prévues à l'extérieur du dépôt.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rPr>
          <w:trHeight w:val="657"/>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Les MHE ne sont pas stationnés dans le dépôt quand ils ne sont pas utilisés.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tcBorders>
              <w:top w:val="single" w:sz="4" w:space="0" w:color="auto"/>
            </w:tcBorders>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15. PORTES</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i/>
              </w:rPr>
            </w:pPr>
            <w:r w:rsidRPr="00CD31FB">
              <w:rPr>
                <w:rFonts w:ascii="Times New Roman" w:hAnsi="Times New Roman"/>
              </w:rPr>
              <w:t>a) Portes ouvertes s’il y a du personnel dans le dépôt </w:t>
            </w:r>
            <w:r w:rsidRPr="00CD31FB">
              <w:rPr>
                <w:rFonts w:ascii="Times New Roman" w:hAnsi="Times New Roman"/>
              </w:rPr>
              <w:br/>
            </w:r>
            <w:r w:rsidRPr="00CD31FB">
              <w:rPr>
                <w:rFonts w:ascii="Times New Roman" w:hAnsi="Times New Roman"/>
                <w:i/>
              </w:rPr>
              <w:t xml:space="preserve">Pendant la réalisation des opérations, les portes ne doivent pas être fermées autrement qu’avec des barres </w:t>
            </w:r>
            <w:proofErr w:type="spellStart"/>
            <w:r w:rsidRPr="00CD31FB">
              <w:rPr>
                <w:rFonts w:ascii="Times New Roman" w:hAnsi="Times New Roman"/>
                <w:i/>
              </w:rPr>
              <w:t>anti-paniques</w:t>
            </w:r>
            <w:proofErr w:type="spellEnd"/>
            <w:r w:rsidRPr="00CD31FB">
              <w:rPr>
                <w:rFonts w:ascii="Times New Roman" w:hAnsi="Times New Roman"/>
                <w:i/>
              </w:rPr>
              <w:t xml:space="preserve"> maintenues en bon état.</w:t>
            </w:r>
          </w:p>
          <w:p w:rsidR="00F63C36" w:rsidRPr="00CD31FB" w:rsidRDefault="00F63C36" w:rsidP="00CD31FB">
            <w:pPr>
              <w:rPr>
                <w:rFonts w:ascii="Times New Roman" w:hAnsi="Times New Roman"/>
                <w:i/>
              </w:rPr>
            </w:pPr>
            <w:r w:rsidRPr="00CD31FB">
              <w:rPr>
                <w:rFonts w:ascii="Times New Roman" w:hAnsi="Times New Roman"/>
                <w:i/>
              </w:rPr>
              <w:t>Lorsque ces dispositifs n’ont pas été installés, les portes doivent être déverrouillées ou ouvertes.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Les portes s’ouvrent vers l’extérieur.</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E263D5" w:rsidTr="00CD31FB">
        <w:tc>
          <w:tcPr>
            <w:tcW w:w="3256" w:type="dxa"/>
            <w:shd w:val="clear" w:color="auto" w:fill="auto"/>
          </w:tcPr>
          <w:p w:rsidR="00F63C36" w:rsidRPr="00CD31FB" w:rsidRDefault="00F63C36" w:rsidP="00CD31FB">
            <w:pPr>
              <w:rPr>
                <w:rFonts w:ascii="Times New Roman" w:hAnsi="Times New Roman"/>
                <w:i/>
                <w:iCs/>
              </w:rPr>
            </w:pPr>
            <w:r w:rsidRPr="00CD31FB">
              <w:rPr>
                <w:rFonts w:ascii="Times New Roman" w:hAnsi="Times New Roman"/>
              </w:rPr>
              <w:t xml:space="preserve">c) Dans les dépôts pouvant contenir des poudres noires, la porte intérieure est en bois </w:t>
            </w:r>
            <w:r w:rsidRPr="00CD31FB">
              <w:rPr>
                <w:rFonts w:ascii="Times New Roman" w:hAnsi="Times New Roman"/>
                <w:i/>
                <w:iCs/>
              </w:rPr>
              <w:t>(s’il existe des pièces métalliques (clous, …) elles doivent être recouvertes de 3 couches de peinture).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16. EVACUATION DU PERSONNEL DU DEPOT EN CAS D'INCIDENT/ACCIDENT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Passage dégagé et non bloqué.</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b) Nombre de sorties suffisant (fonction de la surface du dépôt).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F63C36" w:rsidTr="00CD31FB">
        <w:trPr>
          <w:trHeight w:val="686"/>
        </w:trPr>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17. VETEMENTS DE TRAVAIL ET EPI (équipements de protection individuelles)</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E263D5" w:rsidTr="00CD31FB">
        <w:trPr>
          <w:trHeight w:val="317"/>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 personnel porte les vêtements de travail et EPI définis.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Code du Bien Être au Travail (AR du 28.04.2017, Titre 3 -Vêtements de travail et Titre 2 -Equipements de protection individuelle).</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F02984" w:rsidTr="00CD31FB">
        <w:trPr>
          <w:trHeight w:val="528"/>
        </w:trPr>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Vêtements de travail propres.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F02984"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 personnel dont les vêtements sont contaminés par les explosifs sont interdits dans la zone fumeurs.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5B4101"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18. LES ABORDS DU DEPOT</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les abords du dépôt sont propres.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IATG 02.50 Sécurité Incendie , 8 - Coupe-feu et végétation </w:t>
            </w: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836143"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 xml:space="preserve">b) les abords de tous les dépôts sont dégagés de toute végétation excessive (éliminer les arbustes, lits de ronces, herbes hautes sèches, …) dans un rayon de 25 mètres. </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Dans ce même périmètre et sur le dôme des magasins, la végétation est régulièrement entretenue dans le but notamment de diminuer les risques de propagation de feu de broussailles.</w:t>
            </w:r>
          </w:p>
          <w:p w:rsidR="00F63C36" w:rsidRPr="00CD31FB" w:rsidRDefault="00F63C36" w:rsidP="00CD31FB">
            <w:pPr>
              <w:rPr>
                <w:rFonts w:ascii="Times New Roman" w:hAnsi="Times New Roman"/>
              </w:rPr>
            </w:pPr>
          </w:p>
          <w:p w:rsidR="00F63C36" w:rsidRPr="00CD31FB" w:rsidRDefault="00F63C36" w:rsidP="00CD31FB">
            <w:pPr>
              <w:rPr>
                <w:rFonts w:ascii="Times New Roman" w:hAnsi="Times New Roman"/>
              </w:rPr>
            </w:pPr>
            <w:r w:rsidRPr="00CD31FB">
              <w:rPr>
                <w:rFonts w:ascii="Times New Roman" w:hAnsi="Times New Roman"/>
              </w:rPr>
              <w:t>Les abords de tous les magasins sont dégagés de tout arbre résineux dans un rayon de 15 mètres et de tout arbre feuillu dans un rayon de 5 mètres.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B94841" w:rsidTr="00CD31FB">
        <w:tc>
          <w:tcPr>
            <w:tcW w:w="3256" w:type="dxa"/>
            <w:shd w:val="clear" w:color="auto" w:fill="auto"/>
          </w:tcPr>
          <w:p w:rsidR="00F63C36" w:rsidRPr="00CD31FB" w:rsidRDefault="00F63C36" w:rsidP="00CD31FB">
            <w:pPr>
              <w:rPr>
                <w:rFonts w:ascii="Times New Roman" w:hAnsi="Times New Roman"/>
                <w:i/>
                <w:iCs/>
              </w:rPr>
            </w:pPr>
            <w:r w:rsidRPr="00CD31FB">
              <w:rPr>
                <w:rFonts w:ascii="Times New Roman" w:hAnsi="Times New Roman"/>
              </w:rPr>
              <w:t xml:space="preserve">c) Tout dépôt de matières facilement combustibles ou inflammables est interdit autour du dépôt (25 mètres en général): </w:t>
            </w:r>
            <w:r w:rsidRPr="00CD31FB">
              <w:rPr>
                <w:rFonts w:ascii="Times New Roman" w:hAnsi="Times New Roman"/>
              </w:rPr>
              <w:br/>
            </w:r>
            <w:r w:rsidRPr="00CD31FB">
              <w:rPr>
                <w:rFonts w:ascii="Times New Roman" w:hAnsi="Times New Roman"/>
                <w:i/>
                <w:iCs/>
              </w:rPr>
              <w:t>Matières dangereuses notamment des classes 2, 3, 4, 5 ainsi que des matières solides combustibles telles que le bois, les palettes, le carton, le papier, le charbon, le plastique etc.</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B9484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d) Le dépôt est accessible pour permettre l’intervention des pompiers.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e) Des chemins d’évacuation sont prévus en fonction des PES (évacuation possible à partir des différents endroits du site).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r>
      <w:tr w:rsidR="00F63C36" w:rsidRPr="005B4101"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19. MERLONS</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5B410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Les merlons sont en bon état et entretenus.</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val="restart"/>
            <w:shd w:val="clear" w:color="auto" w:fill="auto"/>
          </w:tcPr>
          <w:p w:rsidR="00F63C36" w:rsidRPr="00CD31FB" w:rsidRDefault="00F63C36" w:rsidP="00CD31FB">
            <w:pPr>
              <w:rPr>
                <w:rFonts w:ascii="Times New Roman" w:hAnsi="Times New Roman"/>
              </w:rPr>
            </w:pPr>
            <w:r w:rsidRPr="00CD31FB">
              <w:rPr>
                <w:rFonts w:ascii="Times New Roman" w:hAnsi="Times New Roman"/>
              </w:rPr>
              <w:t>AR 23.09.0958</w:t>
            </w:r>
          </w:p>
          <w:p w:rsidR="00F63C36" w:rsidRPr="00CD31FB" w:rsidRDefault="00F63C36" w:rsidP="00CD31FB">
            <w:pPr>
              <w:rPr>
                <w:rFonts w:ascii="Times New Roman" w:hAnsi="Times New Roman"/>
              </w:rPr>
            </w:pPr>
            <w:r w:rsidRPr="00CD31FB">
              <w:rPr>
                <w:rFonts w:ascii="Times New Roman" w:hAnsi="Times New Roman"/>
              </w:rPr>
              <w:t>AASTP-1</w:t>
            </w:r>
          </w:p>
          <w:p w:rsidR="00F63C36" w:rsidRPr="00CD31FB" w:rsidRDefault="00F63C36" w:rsidP="00CD31FB">
            <w:pPr>
              <w:rPr>
                <w:rFonts w:ascii="Times New Roman" w:hAnsi="Times New Roman"/>
              </w:rPr>
            </w:pPr>
            <w:r w:rsidRPr="00CD31FB">
              <w:rPr>
                <w:rFonts w:ascii="Times New Roman" w:hAnsi="Times New Roman"/>
              </w:rPr>
              <w:t>IATG 05.30 Barricades</w:t>
            </w: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Les merlons s'élèvent au moins jusqu'au faîte de la toiture (pas de tassement,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c) Les merlons sont composés de matériaux meubles et absence d’autres éléments susceptibles d'être projetés (grosses pierres, souches, …).</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vMerge/>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B94841"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20. BATIMENTS CORRECTEMENT ENTRETENUS</w:t>
            </w:r>
          </w:p>
          <w:p w:rsidR="00F63C36" w:rsidRPr="00CD31FB" w:rsidRDefault="00F63C36" w:rsidP="00CD31FB">
            <w:pPr>
              <w:rPr>
                <w:rFonts w:ascii="Times New Roman" w:hAnsi="Times New Roman"/>
                <w:b/>
              </w:rPr>
            </w:pPr>
            <w:r w:rsidRPr="00CD31FB">
              <w:rPr>
                <w:rFonts w:ascii="Times New Roman" w:hAnsi="Times New Roman"/>
                <w:b/>
              </w:rPr>
              <w:t>Extérieur</w:t>
            </w: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B94841"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Bon état général : façade, porte, toit.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420" w:type="dxa"/>
            <w:shd w:val="clear" w:color="auto" w:fill="auto"/>
          </w:tcPr>
          <w:p w:rsidR="00F63C36" w:rsidRPr="00CD31FB" w:rsidRDefault="00F63C36" w:rsidP="00CD31FB">
            <w:pPr>
              <w:rPr>
                <w:rFonts w:ascii="Times New Roman" w:hAnsi="Times New Roman"/>
              </w:rPr>
            </w:pP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Events d'aérations disposés en chicane et garnis à l’intérieur et à l’extérieur d’un treillis métallique.</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F63C36" w:rsidTr="00CD31FB">
        <w:tc>
          <w:tcPr>
            <w:tcW w:w="3256" w:type="dxa"/>
            <w:shd w:val="clear" w:color="auto" w:fill="D9D9D9"/>
          </w:tcPr>
          <w:p w:rsidR="00F63C36" w:rsidRPr="00CD31FB" w:rsidRDefault="00F63C36" w:rsidP="00CD31FB">
            <w:pPr>
              <w:rPr>
                <w:rFonts w:ascii="Times New Roman" w:hAnsi="Times New Roman"/>
                <w:b/>
              </w:rPr>
            </w:pPr>
            <w:r w:rsidRPr="00CD31FB">
              <w:rPr>
                <w:rFonts w:ascii="Times New Roman" w:hAnsi="Times New Roman"/>
                <w:b/>
              </w:rPr>
              <w:t>21. VOL/MALVEILLANCE (présence et état général)</w:t>
            </w:r>
          </w:p>
          <w:p w:rsidR="00F63C36" w:rsidRPr="00CD31FB" w:rsidRDefault="00F63C36" w:rsidP="00CD31FB">
            <w:pPr>
              <w:rPr>
                <w:rFonts w:ascii="Times New Roman" w:hAnsi="Times New Roman"/>
                <w:b/>
              </w:rPr>
            </w:pPr>
          </w:p>
        </w:tc>
        <w:tc>
          <w:tcPr>
            <w:tcW w:w="284"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283" w:type="dxa"/>
            <w:shd w:val="clear" w:color="auto" w:fill="D9D9D9"/>
          </w:tcPr>
          <w:p w:rsidR="00F63C36" w:rsidRPr="00CD31FB" w:rsidRDefault="00F63C36" w:rsidP="00CD31FB">
            <w:pPr>
              <w:rPr>
                <w:rFonts w:ascii="Times New Roman" w:hAnsi="Times New Roman"/>
              </w:rPr>
            </w:pPr>
          </w:p>
        </w:tc>
        <w:tc>
          <w:tcPr>
            <w:tcW w:w="5103" w:type="dxa"/>
            <w:shd w:val="clear" w:color="auto" w:fill="D9D9D9"/>
          </w:tcPr>
          <w:p w:rsidR="00F63C36" w:rsidRPr="00CD31FB" w:rsidRDefault="00F63C36" w:rsidP="00CD31FB">
            <w:pPr>
              <w:rPr>
                <w:rFonts w:ascii="Times New Roman" w:hAnsi="Times New Roman"/>
              </w:rPr>
            </w:pPr>
          </w:p>
        </w:tc>
        <w:tc>
          <w:tcPr>
            <w:tcW w:w="2556" w:type="dxa"/>
            <w:shd w:val="clear" w:color="auto" w:fill="D9D9D9"/>
          </w:tcPr>
          <w:p w:rsidR="00F63C36" w:rsidRPr="00CD31FB" w:rsidRDefault="00F63C36" w:rsidP="00CD31FB">
            <w:pPr>
              <w:rPr>
                <w:rFonts w:ascii="Times New Roman" w:hAnsi="Times New Roman"/>
              </w:rPr>
            </w:pPr>
          </w:p>
        </w:tc>
        <w:tc>
          <w:tcPr>
            <w:tcW w:w="294" w:type="dxa"/>
            <w:shd w:val="clear" w:color="auto" w:fill="D9D9D9"/>
          </w:tcPr>
          <w:p w:rsidR="00F63C36" w:rsidRPr="00CD31FB" w:rsidRDefault="00F63C36" w:rsidP="00CD31FB">
            <w:pPr>
              <w:rPr>
                <w:rFonts w:ascii="Times New Roman" w:hAnsi="Times New Roman"/>
              </w:rPr>
            </w:pPr>
          </w:p>
        </w:tc>
        <w:tc>
          <w:tcPr>
            <w:tcW w:w="350" w:type="dxa"/>
            <w:shd w:val="clear" w:color="auto" w:fill="D9D9D9"/>
          </w:tcPr>
          <w:p w:rsidR="00F63C36" w:rsidRPr="00CD31FB" w:rsidRDefault="00F63C36" w:rsidP="00CD31FB">
            <w:pPr>
              <w:rPr>
                <w:rFonts w:ascii="Times New Roman" w:hAnsi="Times New Roman"/>
              </w:rPr>
            </w:pPr>
          </w:p>
        </w:tc>
        <w:tc>
          <w:tcPr>
            <w:tcW w:w="349" w:type="dxa"/>
            <w:shd w:val="clear" w:color="auto" w:fill="D9D9D9"/>
          </w:tcPr>
          <w:p w:rsidR="00F63C36" w:rsidRPr="00CD31FB" w:rsidRDefault="00F63C36" w:rsidP="00CD31FB">
            <w:pPr>
              <w:rPr>
                <w:rFonts w:ascii="Times New Roman" w:hAnsi="Times New Roman"/>
              </w:rPr>
            </w:pPr>
          </w:p>
        </w:tc>
        <w:tc>
          <w:tcPr>
            <w:tcW w:w="420" w:type="dxa"/>
            <w:shd w:val="clear" w:color="auto" w:fill="D9D9D9"/>
          </w:tcPr>
          <w:p w:rsidR="00F63C36" w:rsidRPr="00CD31FB" w:rsidRDefault="00F63C36" w:rsidP="00CD31FB">
            <w:pPr>
              <w:rPr>
                <w:rFonts w:ascii="Times New Roman" w:hAnsi="Times New Roman"/>
              </w:rPr>
            </w:pPr>
          </w:p>
        </w:tc>
        <w:tc>
          <w:tcPr>
            <w:tcW w:w="372" w:type="dxa"/>
            <w:shd w:val="clear" w:color="auto" w:fill="D9D9D9"/>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a) Des clôtures sont présentes et entretenues (pas de présence de trous, de parties dégradées, etc.).</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lang w:val="nl-NL"/>
              </w:rPr>
            </w:pPr>
            <w:r w:rsidRPr="00CD31FB">
              <w:rPr>
                <w:rFonts w:ascii="Times New Roman" w:hAnsi="Times New Roman"/>
                <w:lang w:val="nl-BE"/>
              </w:rPr>
              <w:t>Besluit van de Vlaamse regering van 1 juni 1995 houdende algemene en sectorale bepalingen inzake milieuhygiëne (VLAREM II).</w:t>
            </w:r>
          </w:p>
        </w:tc>
        <w:tc>
          <w:tcPr>
            <w:tcW w:w="294" w:type="dxa"/>
            <w:shd w:val="clear" w:color="auto" w:fill="auto"/>
          </w:tcPr>
          <w:p w:rsidR="00F63C36" w:rsidRPr="00CD31FB" w:rsidRDefault="00F63C36" w:rsidP="00CD31FB">
            <w:pPr>
              <w:rPr>
                <w:rFonts w:ascii="Times New Roman" w:hAnsi="Times New Roman"/>
                <w:lang w:val="nl-NL"/>
              </w:rPr>
            </w:pPr>
          </w:p>
        </w:tc>
        <w:tc>
          <w:tcPr>
            <w:tcW w:w="350" w:type="dxa"/>
            <w:shd w:val="clear" w:color="auto" w:fill="auto"/>
          </w:tcPr>
          <w:p w:rsidR="00F63C36" w:rsidRPr="00CD31FB" w:rsidRDefault="00F63C36" w:rsidP="00CD31FB">
            <w:pPr>
              <w:rPr>
                <w:rFonts w:ascii="Times New Roman" w:hAnsi="Times New Roman"/>
                <w:lang w:val="nl-NL"/>
              </w:rPr>
            </w:pPr>
          </w:p>
        </w:tc>
        <w:tc>
          <w:tcPr>
            <w:tcW w:w="349" w:type="dxa"/>
            <w:shd w:val="clear" w:color="auto" w:fill="auto"/>
          </w:tcPr>
          <w:p w:rsidR="00F63C36" w:rsidRPr="00CD31FB" w:rsidRDefault="00F63C36" w:rsidP="00CD31FB">
            <w:pPr>
              <w:rPr>
                <w:rFonts w:ascii="Times New Roman" w:hAnsi="Times New Roman"/>
                <w:lang w:val="nl-NL"/>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E263D5" w:rsidTr="00CD31FB">
        <w:tc>
          <w:tcPr>
            <w:tcW w:w="3256"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b) Des caméras, détecteurs, alarmes sont présents (si d'application) et en bon état.</w:t>
            </w:r>
          </w:p>
          <w:p w:rsidR="00F63C36" w:rsidRPr="00CD31FB" w:rsidRDefault="00F63C36" w:rsidP="00CD31FB">
            <w:pPr>
              <w:rPr>
                <w:rFonts w:ascii="Times New Roman" w:hAnsi="Times New Roman"/>
              </w:rPr>
            </w:pPr>
          </w:p>
        </w:tc>
        <w:tc>
          <w:tcPr>
            <w:tcW w:w="284"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283" w:type="dxa"/>
            <w:shd w:val="clear" w:color="auto" w:fill="auto"/>
          </w:tcPr>
          <w:p w:rsidR="00F63C36" w:rsidRPr="00CD31FB" w:rsidRDefault="00F63C36" w:rsidP="00CD31FB">
            <w:pPr>
              <w:rPr>
                <w:rFonts w:ascii="Times New Roman" w:hAnsi="Times New Roman"/>
              </w:rPr>
            </w:pPr>
          </w:p>
        </w:tc>
        <w:tc>
          <w:tcPr>
            <w:tcW w:w="5103" w:type="dxa"/>
            <w:shd w:val="clear" w:color="auto" w:fill="auto"/>
          </w:tcPr>
          <w:p w:rsidR="00F63C36" w:rsidRPr="00CD31FB" w:rsidRDefault="00F63C36" w:rsidP="00CD31FB">
            <w:pPr>
              <w:rPr>
                <w:rFonts w:ascii="Times New Roman" w:hAnsi="Times New Roman"/>
              </w:rPr>
            </w:pPr>
          </w:p>
        </w:tc>
        <w:tc>
          <w:tcPr>
            <w:tcW w:w="2556" w:type="dxa"/>
            <w:shd w:val="clear" w:color="auto" w:fill="auto"/>
          </w:tcPr>
          <w:p w:rsidR="00F63C36" w:rsidRPr="00CD31FB" w:rsidRDefault="00F63C36" w:rsidP="00CD31FB">
            <w:pPr>
              <w:rPr>
                <w:rFonts w:ascii="Times New Roman" w:hAnsi="Times New Roman"/>
              </w:rPr>
            </w:pPr>
          </w:p>
        </w:tc>
        <w:tc>
          <w:tcPr>
            <w:tcW w:w="294" w:type="dxa"/>
            <w:shd w:val="clear" w:color="auto" w:fill="auto"/>
          </w:tcPr>
          <w:p w:rsidR="00F63C36" w:rsidRPr="00CD31FB" w:rsidRDefault="00F63C36" w:rsidP="00CD31FB">
            <w:pPr>
              <w:rPr>
                <w:rFonts w:ascii="Times New Roman" w:hAnsi="Times New Roman"/>
              </w:rPr>
            </w:pPr>
          </w:p>
        </w:tc>
        <w:tc>
          <w:tcPr>
            <w:tcW w:w="350" w:type="dxa"/>
            <w:shd w:val="clear" w:color="auto" w:fill="auto"/>
          </w:tcPr>
          <w:p w:rsidR="00F63C36" w:rsidRPr="00CD31FB" w:rsidRDefault="00F63C36" w:rsidP="00CD31FB">
            <w:pPr>
              <w:rPr>
                <w:rFonts w:ascii="Times New Roman" w:hAnsi="Times New Roman"/>
              </w:rPr>
            </w:pPr>
          </w:p>
        </w:tc>
        <w:tc>
          <w:tcPr>
            <w:tcW w:w="349" w:type="dxa"/>
            <w:shd w:val="clear" w:color="auto" w:fill="auto"/>
          </w:tcPr>
          <w:p w:rsidR="00F63C36" w:rsidRPr="00CD31FB" w:rsidRDefault="00F63C36" w:rsidP="00CD31FB">
            <w:pPr>
              <w:rPr>
                <w:rFonts w:ascii="Times New Roman" w:hAnsi="Times New Roman"/>
              </w:rPr>
            </w:pPr>
          </w:p>
        </w:tc>
        <w:tc>
          <w:tcPr>
            <w:tcW w:w="420" w:type="dxa"/>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shd w:val="clear" w:color="auto" w:fill="auto"/>
          </w:tcPr>
          <w:p w:rsidR="00F63C36" w:rsidRPr="00CD31FB" w:rsidRDefault="00F63C36" w:rsidP="00CD31FB">
            <w:pPr>
              <w:rPr>
                <w:rFonts w:ascii="Times New Roman" w:hAnsi="Times New Roman"/>
              </w:rPr>
            </w:pPr>
          </w:p>
        </w:tc>
      </w:tr>
      <w:tr w:rsidR="00F63C36" w:rsidRPr="00B4285A" w:rsidTr="00CD31FB">
        <w:tc>
          <w:tcPr>
            <w:tcW w:w="3256" w:type="dxa"/>
            <w:tcBorders>
              <w:bottom w:val="single" w:sz="4" w:space="0" w:color="auto"/>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c) Les portes du dépôt sont fermées en fin de journée ou en cas d’absence du personnel.</w:t>
            </w:r>
          </w:p>
          <w:p w:rsidR="00F63C36" w:rsidRPr="00CD31FB" w:rsidRDefault="00F63C36" w:rsidP="00CD31FB">
            <w:pPr>
              <w:rPr>
                <w:rFonts w:ascii="Times New Roman" w:hAnsi="Times New Roman"/>
              </w:rPr>
            </w:pPr>
          </w:p>
        </w:tc>
        <w:tc>
          <w:tcPr>
            <w:tcW w:w="284"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283"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283"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5103"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2556"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294"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350"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349" w:type="dxa"/>
            <w:tcBorders>
              <w:bottom w:val="single" w:sz="4" w:space="0" w:color="auto"/>
            </w:tcBorders>
            <w:shd w:val="clear" w:color="auto" w:fill="auto"/>
          </w:tcPr>
          <w:p w:rsidR="00F63C36" w:rsidRPr="00CD31FB" w:rsidRDefault="00F63C36" w:rsidP="00CD31FB">
            <w:pPr>
              <w:rPr>
                <w:rFonts w:ascii="Times New Roman" w:hAnsi="Times New Roman"/>
              </w:rPr>
            </w:pPr>
          </w:p>
        </w:tc>
        <w:tc>
          <w:tcPr>
            <w:tcW w:w="420" w:type="dxa"/>
            <w:tcBorders>
              <w:bottom w:val="single" w:sz="4" w:space="0" w:color="auto"/>
            </w:tcBorders>
            <w:shd w:val="clear" w:color="auto" w:fill="auto"/>
          </w:tcPr>
          <w:p w:rsidR="00F63C36" w:rsidRPr="00CD31FB" w:rsidRDefault="00F63C36" w:rsidP="00CD31FB">
            <w:pPr>
              <w:rPr>
                <w:rFonts w:ascii="Times New Roman" w:hAnsi="Times New Roman"/>
              </w:rPr>
            </w:pPr>
            <w:r w:rsidRPr="00CD31FB">
              <w:rPr>
                <w:rFonts w:ascii="Times New Roman" w:hAnsi="Times New Roman"/>
              </w:rPr>
              <w:t>X</w:t>
            </w:r>
          </w:p>
        </w:tc>
        <w:tc>
          <w:tcPr>
            <w:tcW w:w="372" w:type="dxa"/>
            <w:tcBorders>
              <w:bottom w:val="single" w:sz="4" w:space="0" w:color="auto"/>
            </w:tcBorders>
            <w:shd w:val="clear" w:color="auto" w:fill="auto"/>
          </w:tcPr>
          <w:p w:rsidR="00F63C36" w:rsidRPr="00CD31FB" w:rsidRDefault="00F63C36" w:rsidP="00CD31FB">
            <w:pPr>
              <w:rPr>
                <w:rFonts w:ascii="Times New Roman" w:hAnsi="Times New Roman"/>
              </w:rPr>
            </w:pPr>
          </w:p>
        </w:tc>
      </w:tr>
    </w:tbl>
    <w:p w:rsidR="00F63C36" w:rsidRPr="004C0401" w:rsidRDefault="00F63C36" w:rsidP="00F63C36">
      <w:pPr>
        <w:pStyle w:val="Default"/>
        <w:rPr>
          <w:lang w:val="fr-BE"/>
        </w:rPr>
      </w:pPr>
      <w:r>
        <w:rPr>
          <w:lang w:val="fr-BE"/>
        </w:rPr>
        <w:br w:type="textWrapping" w:clear="all"/>
      </w:r>
    </w:p>
    <w:p w:rsidR="00F63C36" w:rsidRPr="00AB743C" w:rsidRDefault="00F63C36" w:rsidP="00F63C36"/>
    <w:p w:rsidR="00F63C36" w:rsidRPr="00F63C36" w:rsidRDefault="00F63C36" w:rsidP="00F63C36">
      <w:pPr>
        <w:rPr>
          <w:rFonts w:ascii="Times New Roman" w:hAnsi="Times New Roman"/>
        </w:rPr>
      </w:pPr>
      <w:r w:rsidRPr="00F63C36">
        <w:rPr>
          <w:rFonts w:ascii="Times New Roman" w:hAnsi="Times New Roman"/>
        </w:rPr>
        <w:t>I : Incendie.</w:t>
      </w:r>
    </w:p>
    <w:p w:rsidR="00F63C36" w:rsidRPr="00F63C36" w:rsidRDefault="00F63C36" w:rsidP="00F63C36">
      <w:pPr>
        <w:rPr>
          <w:rFonts w:ascii="Times New Roman" w:hAnsi="Times New Roman"/>
        </w:rPr>
      </w:pPr>
      <w:r w:rsidRPr="00F63C36">
        <w:rPr>
          <w:rFonts w:ascii="Times New Roman" w:hAnsi="Times New Roman"/>
        </w:rPr>
        <w:t>E : Explosion.</w:t>
      </w:r>
    </w:p>
    <w:p w:rsidR="00F63C36" w:rsidRPr="00F63C36" w:rsidRDefault="00F63C36" w:rsidP="00F63C36">
      <w:pPr>
        <w:rPr>
          <w:rFonts w:ascii="Times New Roman" w:hAnsi="Times New Roman"/>
        </w:rPr>
      </w:pPr>
      <w:r w:rsidRPr="00F63C36">
        <w:rPr>
          <w:rFonts w:ascii="Times New Roman" w:hAnsi="Times New Roman"/>
        </w:rPr>
        <w:t>C : Contamination.</w:t>
      </w:r>
    </w:p>
    <w:p w:rsidR="00F63C36" w:rsidRPr="00F63C36" w:rsidRDefault="00F63C36" w:rsidP="00F63C36">
      <w:pPr>
        <w:rPr>
          <w:rFonts w:ascii="Times New Roman" w:hAnsi="Times New Roman"/>
        </w:rPr>
      </w:pPr>
      <w:r w:rsidRPr="00F63C36">
        <w:rPr>
          <w:rFonts w:ascii="Times New Roman" w:hAnsi="Times New Roman"/>
        </w:rPr>
        <w:t>V : Vol/malveillance.</w:t>
      </w:r>
    </w:p>
    <w:p w:rsidR="00F63C36" w:rsidRPr="00F63C36" w:rsidRDefault="00F63C36" w:rsidP="00F63C36">
      <w:pPr>
        <w:rPr>
          <w:rFonts w:ascii="Times New Roman" w:hAnsi="Times New Roman"/>
        </w:rPr>
      </w:pPr>
      <w:r w:rsidRPr="00F63C36">
        <w:rPr>
          <w:rFonts w:ascii="Times New Roman" w:hAnsi="Times New Roman"/>
        </w:rPr>
        <w:t>T : protection du Travailleur.</w:t>
      </w:r>
    </w:p>
    <w:p w:rsidR="00F63C36" w:rsidRPr="00AB743C" w:rsidRDefault="00F63C36" w:rsidP="00F63C36">
      <w:pPr>
        <w:tabs>
          <w:tab w:val="left" w:pos="5472"/>
        </w:tabs>
      </w:pPr>
      <w:r w:rsidRPr="00AB743C">
        <w:tab/>
      </w: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pPr>
    </w:p>
    <w:p w:rsidR="008F7B84" w:rsidRDefault="008F7B84" w:rsidP="009D7399">
      <w:pPr>
        <w:jc w:val="left"/>
        <w:sectPr w:rsidR="008F7B84" w:rsidSect="00294E72">
          <w:headerReference w:type="default" r:id="rId35"/>
          <w:pgSz w:w="16840" w:h="11907" w:orient="landscape" w:code="9"/>
          <w:pgMar w:top="1418" w:right="1418" w:bottom="1418" w:left="1418" w:header="709" w:footer="709" w:gutter="0"/>
          <w:cols w:space="708"/>
          <w:docGrid w:linePitch="360"/>
        </w:sectPr>
      </w:pPr>
    </w:p>
    <w:p w:rsidR="000663D1" w:rsidRDefault="009D7399" w:rsidP="009D7399">
      <w:pPr>
        <w:jc w:val="left"/>
        <w:rPr>
          <w:lang w:val="fr-FR"/>
        </w:rPr>
      </w:pPr>
      <w:r>
        <w:rPr>
          <w:lang w:val="fr-FR"/>
        </w:rPr>
        <w:br/>
      </w:r>
      <w:r w:rsidR="00961728">
        <w:pict>
          <v:shape id="_x0000_i1040" type="#_x0000_t75" style="width:450pt;height:180pt">
            <v:imagedata r:id="rId20" o:title="DSCN0364"/>
          </v:shape>
        </w:pict>
      </w:r>
    </w:p>
    <w:p w:rsidR="00D474B0" w:rsidRDefault="00F52243" w:rsidP="00574A53">
      <w:pPr>
        <w:pStyle w:val="Kop1"/>
        <w:numPr>
          <w:ilvl w:val="0"/>
          <w:numId w:val="0"/>
        </w:numPr>
        <w:ind w:left="720"/>
      </w:pPr>
      <w:bookmarkStart w:id="57" w:name="_Toc279158384"/>
      <w:bookmarkStart w:id="58" w:name="_Toc279158385"/>
      <w:bookmarkStart w:id="59" w:name="_Toc279158386"/>
      <w:bookmarkStart w:id="60" w:name="_Toc279158387"/>
      <w:bookmarkStart w:id="61" w:name="_Toc279158388"/>
      <w:bookmarkStart w:id="62" w:name="_Toc279158390"/>
      <w:bookmarkStart w:id="63" w:name="_Toc66895232"/>
      <w:bookmarkEnd w:id="57"/>
      <w:bookmarkEnd w:id="58"/>
      <w:bookmarkEnd w:id="59"/>
      <w:bookmarkEnd w:id="60"/>
      <w:bookmarkEnd w:id="61"/>
      <w:r w:rsidRPr="00574A53">
        <w:rPr>
          <w:sz w:val="96"/>
          <w:szCs w:val="96"/>
        </w:rPr>
        <w:t>6</w:t>
      </w:r>
      <w:r w:rsidR="000663D1">
        <w:br/>
      </w:r>
      <w:r w:rsidR="00B67C87" w:rsidRPr="007B12CF">
        <w:t>Bibliographie</w:t>
      </w:r>
      <w:bookmarkEnd w:id="62"/>
      <w:bookmarkEnd w:id="63"/>
    </w:p>
    <w:p w:rsidR="00B67C87" w:rsidRPr="007B12CF" w:rsidRDefault="00B67C87" w:rsidP="005651C2">
      <w:pPr>
        <w:pStyle w:val="Kop1"/>
        <w:numPr>
          <w:ilvl w:val="0"/>
          <w:numId w:val="0"/>
        </w:numPr>
        <w:jc w:val="both"/>
        <w:rPr>
          <w:lang w:eastAsia="fr-FR"/>
        </w:rPr>
      </w:pPr>
    </w:p>
    <w:p w:rsidR="00905346" w:rsidRDefault="00905346" w:rsidP="00B67C87">
      <w:pPr>
        <w:rPr>
          <w:i/>
        </w:rPr>
      </w:pPr>
      <w:r w:rsidRPr="00571359">
        <w:rPr>
          <w:i/>
        </w:rPr>
        <w:t>Il convient de noter que dans le présent document une référence normative non datée signifie que c’est la dernière Edition de cette référence qui est d’application.</w:t>
      </w:r>
    </w:p>
    <w:p w:rsidR="00D474B0" w:rsidRDefault="00D474B0" w:rsidP="00B67C87">
      <w:pPr>
        <w:rPr>
          <w:i/>
        </w:rPr>
      </w:pPr>
    </w:p>
    <w:p w:rsidR="00D474B0" w:rsidRDefault="00D474B0" w:rsidP="00D474B0">
      <w:pPr>
        <w:pStyle w:val="Voetnoottekst"/>
      </w:pPr>
      <w:r w:rsidRPr="00574A53">
        <w:t xml:space="preserve">Accord de coopération du 16 février 2016 entre l’Etat fédéral, la Région flamande, la Région wallonne et </w:t>
      </w:r>
      <w:smartTag w:uri="urn:schemas-microsoft-com:office:smarttags" w:element="PersonName">
        <w:smartTagPr>
          <w:attr w:name="ProductID" w:val="la R￩gion"/>
        </w:smartTagPr>
        <w:r w:rsidRPr="00574A53">
          <w:t>la Région</w:t>
        </w:r>
      </w:smartTag>
      <w:r w:rsidRPr="00574A53">
        <w:t xml:space="preserve"> de Bruxelles-Capitale concernant la maîtrise des dangers liés aux accidents majeurs impliquant des substances dangereuses.</w:t>
      </w:r>
      <w:r>
        <w:t xml:space="preserve"> </w:t>
      </w:r>
    </w:p>
    <w:bookmarkStart w:id="64" w:name="_Hlk66881475"/>
    <w:p w:rsidR="00D474B0" w:rsidRDefault="00D474B0" w:rsidP="00D474B0">
      <w:pPr>
        <w:pStyle w:val="Voetnoottekst"/>
      </w:pPr>
      <w:r>
        <w:fldChar w:fldCharType="begin"/>
      </w:r>
      <w:r>
        <w:instrText xml:space="preserve"> HYPERLINK "</w:instrText>
      </w:r>
      <w:r w:rsidRPr="00A91D76">
        <w:instrText>http://seveso/documents/Informatie/Wetgeving/Wet_Loi_20160401_SWA-ADC.pdf</w:instrText>
      </w:r>
      <w:r>
        <w:instrText xml:space="preserve">" </w:instrText>
      </w:r>
      <w:r>
        <w:fldChar w:fldCharType="separate"/>
      </w:r>
      <w:r w:rsidRPr="007A45FB">
        <w:rPr>
          <w:rStyle w:val="Hyperlink"/>
        </w:rPr>
        <w:t>http://seveso/documents/Informatie/Wetgeving/Wet_Loi_20160401_SWA-ADC.pdf</w:t>
      </w:r>
      <w:r>
        <w:fldChar w:fldCharType="end"/>
      </w:r>
    </w:p>
    <w:bookmarkEnd w:id="64"/>
    <w:p w:rsidR="00D474B0" w:rsidRPr="00A91D76" w:rsidRDefault="00D474B0" w:rsidP="00D474B0">
      <w:pPr>
        <w:pStyle w:val="Voetnoottekst"/>
        <w:rPr>
          <w:rFonts w:cs="Verdana"/>
          <w:lang w:eastAsia="fr-FR"/>
        </w:rPr>
      </w:pPr>
      <w:r>
        <w:t xml:space="preserve"> </w:t>
      </w:r>
    </w:p>
    <w:p w:rsidR="00D474B0" w:rsidRDefault="00D474B0" w:rsidP="00D474B0">
      <w:pPr>
        <w:autoSpaceDE w:val="0"/>
        <w:autoSpaceDN w:val="0"/>
        <w:adjustRightInd w:val="0"/>
        <w:jc w:val="left"/>
        <w:rPr>
          <w:rFonts w:cs="Verdana"/>
          <w:lang w:val="fr-FR" w:eastAsia="fr-FR"/>
        </w:rPr>
      </w:pPr>
      <w:r>
        <w:rPr>
          <w:rFonts w:cs="Verdana"/>
          <w:lang w:val="fr-FR" w:eastAsia="fr-FR"/>
        </w:rPr>
        <w:t>C</w:t>
      </w:r>
      <w:r w:rsidRPr="00FD0A12">
        <w:rPr>
          <w:rFonts w:cs="Verdana"/>
          <w:lang w:val="fr-FR" w:eastAsia="fr-FR"/>
        </w:rPr>
        <w:t>ode sur le bien-être au travail</w:t>
      </w:r>
      <w:r>
        <w:rPr>
          <w:rFonts w:cs="Verdana"/>
          <w:lang w:val="fr-FR" w:eastAsia="fr-FR"/>
        </w:rPr>
        <w:t xml:space="preserve"> (2017) : </w:t>
      </w:r>
      <w:hyperlink r:id="rId36" w:history="1">
        <w:r w:rsidRPr="003620E1">
          <w:rPr>
            <w:rStyle w:val="Hyperlink"/>
            <w:rFonts w:cs="Verdana"/>
            <w:lang w:val="fr-FR" w:eastAsia="fr-FR"/>
          </w:rPr>
          <w:t>http://www.ejustice.just.fgov.be/eli/loi/2017/04/28/2017A10461/justel</w:t>
        </w:r>
      </w:hyperlink>
      <w:r>
        <w:rPr>
          <w:rFonts w:cs="Verdana"/>
          <w:lang w:val="fr-FR" w:eastAsia="fr-FR"/>
        </w:rPr>
        <w:t xml:space="preserve"> </w:t>
      </w:r>
    </w:p>
    <w:p w:rsidR="00D474B0" w:rsidRDefault="00D474B0" w:rsidP="00D474B0">
      <w:pPr>
        <w:autoSpaceDE w:val="0"/>
        <w:autoSpaceDN w:val="0"/>
        <w:adjustRightInd w:val="0"/>
        <w:rPr>
          <w:rFonts w:cs="Verdana"/>
          <w:lang w:val="fr-FR" w:eastAsia="fr-FR"/>
        </w:rPr>
      </w:pPr>
    </w:p>
    <w:p w:rsidR="00D474B0" w:rsidRDefault="00D474B0" w:rsidP="00D474B0">
      <w:pPr>
        <w:autoSpaceDE w:val="0"/>
        <w:autoSpaceDN w:val="0"/>
        <w:adjustRightInd w:val="0"/>
        <w:jc w:val="left"/>
        <w:rPr>
          <w:rFonts w:cs="Verdana"/>
          <w:lang w:eastAsia="fr-FR"/>
        </w:rPr>
      </w:pPr>
      <w:r w:rsidRPr="00F662EA">
        <w:rPr>
          <w:rFonts w:cs="Verdana"/>
          <w:lang w:eastAsia="fr-FR"/>
        </w:rPr>
        <w:t>Arrêté royal du 22 mai 2019 relatif à la planification d'urgence et la gestion de situations d'urgence à l'échelon communal et provincial et au rôle des bourgmestres et des gouverneurs de province en cas d'événements et de situations de crise nécessitant une coordination ou une gestion à l'échelon national :</w:t>
      </w:r>
      <w:r>
        <w:rPr>
          <w:rFonts w:cs="Verdana"/>
          <w:lang w:eastAsia="fr-FR"/>
        </w:rPr>
        <w:br/>
      </w:r>
      <w:hyperlink r:id="rId37" w:history="1">
        <w:r w:rsidRPr="00DC4411">
          <w:rPr>
            <w:rStyle w:val="Hyperlink"/>
            <w:rFonts w:cs="Verdana"/>
            <w:lang w:eastAsia="fr-FR"/>
          </w:rPr>
          <w:t>http://www.ejustice.just.fgov.be/eli/arrete/2019/05/22/2019013001/justel</w:t>
        </w:r>
      </w:hyperlink>
      <w:r>
        <w:rPr>
          <w:rFonts w:cs="Verdana"/>
          <w:lang w:eastAsia="fr-FR"/>
        </w:rPr>
        <w:t xml:space="preserve"> </w:t>
      </w:r>
    </w:p>
    <w:p w:rsidR="00D474B0" w:rsidRDefault="00D474B0" w:rsidP="00D474B0">
      <w:pPr>
        <w:autoSpaceDE w:val="0"/>
        <w:autoSpaceDN w:val="0"/>
        <w:adjustRightInd w:val="0"/>
        <w:rPr>
          <w:rFonts w:cs="Verdana"/>
          <w:lang w:eastAsia="fr-FR"/>
        </w:rPr>
      </w:pPr>
    </w:p>
    <w:p w:rsidR="00D474B0" w:rsidRPr="00D474B0" w:rsidRDefault="00D474B0" w:rsidP="00D474B0">
      <w:pPr>
        <w:autoSpaceDE w:val="0"/>
        <w:autoSpaceDN w:val="0"/>
        <w:adjustRightInd w:val="0"/>
        <w:jc w:val="left"/>
        <w:rPr>
          <w:rFonts w:cs="Verdana"/>
          <w:lang w:val="nl-NL" w:eastAsia="fr-FR"/>
        </w:rPr>
      </w:pPr>
      <w:r w:rsidRPr="00A91D76">
        <w:rPr>
          <w:rFonts w:cs="Verdana"/>
          <w:lang w:eastAsia="fr-FR"/>
        </w:rPr>
        <w:t xml:space="preserve">Arrêté Royal du 23 septembre 1958 portant règlement général sur la fabrication, l'emmagasinage, la détention, le débit, le transport et l'emploi des produits explosifs, Moniteur Belge du 22 décembre 1958. </w:t>
      </w:r>
      <w:r>
        <w:rPr>
          <w:rFonts w:cs="Verdana"/>
          <w:lang w:eastAsia="fr-FR"/>
        </w:rPr>
        <w:br/>
      </w:r>
      <w:hyperlink r:id="rId38" w:history="1">
        <w:r w:rsidRPr="00D474B0">
          <w:rPr>
            <w:rStyle w:val="Hyperlink"/>
            <w:rFonts w:cs="Verdana"/>
            <w:lang w:val="nl-NL" w:eastAsia="fr-FR"/>
          </w:rPr>
          <w:t>http://www.ejustice.just.fgov.be/eli/arrete/1958/09/23/1958092304/justel</w:t>
        </w:r>
      </w:hyperlink>
      <w:r w:rsidRPr="00D474B0">
        <w:rPr>
          <w:rFonts w:cs="Verdana"/>
          <w:lang w:val="nl-NL" w:eastAsia="fr-FR"/>
        </w:rPr>
        <w:t xml:space="preserve"> </w:t>
      </w:r>
    </w:p>
    <w:p w:rsidR="00D474B0" w:rsidRPr="00D474B0" w:rsidRDefault="00D474B0" w:rsidP="00D474B0">
      <w:pPr>
        <w:autoSpaceDE w:val="0"/>
        <w:autoSpaceDN w:val="0"/>
        <w:adjustRightInd w:val="0"/>
        <w:rPr>
          <w:rFonts w:cs="Verdana"/>
          <w:lang w:val="nl-NL" w:eastAsia="fr-FR"/>
        </w:rPr>
      </w:pPr>
    </w:p>
    <w:p w:rsidR="00D474B0" w:rsidRDefault="00D474B0" w:rsidP="00D474B0">
      <w:pPr>
        <w:autoSpaceDE w:val="0"/>
        <w:autoSpaceDN w:val="0"/>
        <w:adjustRightInd w:val="0"/>
        <w:jc w:val="left"/>
        <w:rPr>
          <w:rFonts w:cs="Verdana"/>
          <w:lang w:val="nl-NL" w:eastAsia="fr-FR"/>
        </w:rPr>
      </w:pPr>
      <w:bookmarkStart w:id="65" w:name="_Hlk66711098"/>
      <w:r w:rsidRPr="00A91D76">
        <w:rPr>
          <w:rFonts w:cs="Verdana"/>
          <w:lang w:val="nl-NL" w:eastAsia="fr-FR"/>
        </w:rPr>
        <w:t>Besluit van de Vlaamse regering van 1 juni 1995 houdende algemene en sectorale bepalingen inzake milieuhygiëne (VLAREM II - Vlaams Reglement voor de milieuvergunning)</w:t>
      </w:r>
      <w:r>
        <w:rPr>
          <w:rFonts w:cs="Verdana"/>
          <w:lang w:val="nl-NL" w:eastAsia="fr-FR"/>
        </w:rPr>
        <w:t xml:space="preserve">: </w:t>
      </w:r>
      <w:hyperlink r:id="rId39" w:history="1">
        <w:r w:rsidRPr="003620E1">
          <w:rPr>
            <w:rStyle w:val="Hyperlink"/>
            <w:rFonts w:cs="Verdana"/>
            <w:lang w:val="nl-NL" w:eastAsia="fr-FR"/>
          </w:rPr>
          <w:t>http://www.ejustice.just.fgov.be/eli/besluit/1995/06/01/1995035883/justel</w:t>
        </w:r>
      </w:hyperlink>
      <w:r>
        <w:rPr>
          <w:rFonts w:cs="Verdana"/>
          <w:lang w:val="nl-NL" w:eastAsia="fr-FR"/>
        </w:rPr>
        <w:t xml:space="preserve"> </w:t>
      </w:r>
    </w:p>
    <w:p w:rsidR="00D474B0" w:rsidRDefault="00D474B0" w:rsidP="00D474B0">
      <w:pPr>
        <w:autoSpaceDE w:val="0"/>
        <w:autoSpaceDN w:val="0"/>
        <w:adjustRightInd w:val="0"/>
        <w:rPr>
          <w:rFonts w:cs="Verdana"/>
          <w:lang w:val="nl-NL" w:eastAsia="fr-FR"/>
        </w:rPr>
      </w:pPr>
    </w:p>
    <w:p w:rsidR="00D474B0" w:rsidRPr="00A91D76" w:rsidRDefault="00D474B0" w:rsidP="00D474B0">
      <w:pPr>
        <w:autoSpaceDE w:val="0"/>
        <w:autoSpaceDN w:val="0"/>
        <w:adjustRightInd w:val="0"/>
        <w:jc w:val="left"/>
        <w:rPr>
          <w:rFonts w:cs="Verdana"/>
          <w:lang w:val="nl-NL" w:eastAsia="fr-FR"/>
        </w:rPr>
      </w:pPr>
      <w:r w:rsidRPr="00036AA8">
        <w:rPr>
          <w:rFonts w:cs="Verdana"/>
          <w:lang w:val="nl-NL" w:eastAsia="fr-FR"/>
        </w:rPr>
        <w:t xml:space="preserve">Besluit van de Vlaamse Regering van 27 november 2015 tot uitvoering van het decreet van 25 april 2014 betreffende de omgevingsvergunning : </w:t>
      </w:r>
      <w:bookmarkStart w:id="66" w:name="_Hlk66711040"/>
      <w:r>
        <w:rPr>
          <w:rFonts w:cs="Verdana"/>
          <w:lang w:val="nl-NL" w:eastAsia="fr-FR"/>
        </w:rPr>
        <w:fldChar w:fldCharType="begin"/>
      </w:r>
      <w:r>
        <w:rPr>
          <w:rFonts w:cs="Verdana"/>
          <w:lang w:val="nl-NL" w:eastAsia="fr-FR"/>
        </w:rPr>
        <w:instrText xml:space="preserve"> HYPERLINK "</w:instrText>
      </w:r>
      <w:r w:rsidRPr="00036AA8">
        <w:rPr>
          <w:rFonts w:cs="Verdana"/>
          <w:lang w:val="nl-NL" w:eastAsia="fr-FR"/>
        </w:rPr>
        <w:instrText>http://www.ejustice.just.fgov.be/eli/besluit/2015/11/27/2016035143/justel</w:instrText>
      </w:r>
      <w:r>
        <w:rPr>
          <w:rFonts w:cs="Verdana"/>
          <w:lang w:val="nl-NL" w:eastAsia="fr-FR"/>
        </w:rPr>
        <w:instrText xml:space="preserve">" </w:instrText>
      </w:r>
      <w:r>
        <w:rPr>
          <w:rFonts w:cs="Verdana"/>
          <w:lang w:val="nl-NL" w:eastAsia="fr-FR"/>
        </w:rPr>
        <w:fldChar w:fldCharType="separate"/>
      </w:r>
      <w:r w:rsidRPr="007A45FB">
        <w:rPr>
          <w:rStyle w:val="Hyperlink"/>
          <w:rFonts w:cs="Verdana"/>
          <w:lang w:val="nl-NL" w:eastAsia="fr-FR"/>
        </w:rPr>
        <w:t>http://www.ejustice.just.fgov.be/eli/besluit/2015/11/27/2016035143/justel</w:t>
      </w:r>
      <w:bookmarkEnd w:id="66"/>
      <w:r>
        <w:rPr>
          <w:rFonts w:cs="Verdana"/>
          <w:lang w:val="nl-NL" w:eastAsia="fr-FR"/>
        </w:rPr>
        <w:fldChar w:fldCharType="end"/>
      </w:r>
      <w:r>
        <w:rPr>
          <w:rFonts w:cs="Verdana"/>
          <w:lang w:val="nl-NL" w:eastAsia="fr-FR"/>
        </w:rPr>
        <w:t xml:space="preserve"> </w:t>
      </w:r>
    </w:p>
    <w:bookmarkEnd w:id="65"/>
    <w:p w:rsidR="00D474B0" w:rsidRPr="00A91D76" w:rsidRDefault="00D474B0" w:rsidP="00D474B0">
      <w:pPr>
        <w:autoSpaceDE w:val="0"/>
        <w:autoSpaceDN w:val="0"/>
        <w:adjustRightInd w:val="0"/>
        <w:rPr>
          <w:rFonts w:cs="Verdana"/>
          <w:lang w:val="nl-NL" w:eastAsia="fr-FR"/>
        </w:rPr>
      </w:pPr>
    </w:p>
    <w:p w:rsidR="00D474B0" w:rsidRDefault="00D474B0" w:rsidP="00D474B0">
      <w:pPr>
        <w:autoSpaceDE w:val="0"/>
        <w:autoSpaceDN w:val="0"/>
        <w:adjustRightInd w:val="0"/>
        <w:jc w:val="left"/>
        <w:rPr>
          <w:rFonts w:cs="Verdana"/>
          <w:lang w:val="fr-FR" w:eastAsia="fr-FR"/>
        </w:rPr>
      </w:pPr>
      <w:r w:rsidRPr="00523D04">
        <w:rPr>
          <w:rFonts w:cs="Verdana"/>
          <w:lang w:val="fr-FR" w:eastAsia="fr-FR"/>
        </w:rPr>
        <w:t>Décret du 11 mars 1999 relatif au permis d'environnement</w:t>
      </w:r>
      <w:r>
        <w:rPr>
          <w:rFonts w:cs="Verdana"/>
          <w:lang w:val="fr-FR" w:eastAsia="fr-FR"/>
        </w:rPr>
        <w:t xml:space="preserve"> : </w:t>
      </w:r>
      <w:r>
        <w:rPr>
          <w:rFonts w:cs="Verdana"/>
          <w:lang w:val="fr-FR" w:eastAsia="fr-FR"/>
        </w:rPr>
        <w:fldChar w:fldCharType="begin"/>
      </w:r>
      <w:r>
        <w:rPr>
          <w:rFonts w:cs="Verdana"/>
          <w:lang w:val="fr-FR" w:eastAsia="fr-FR"/>
        </w:rPr>
        <w:instrText xml:space="preserve"> HYPERLINK "</w:instrText>
      </w:r>
      <w:r w:rsidRPr="00523D04">
        <w:rPr>
          <w:rFonts w:cs="Verdana"/>
          <w:lang w:val="fr-FR" w:eastAsia="fr-FR"/>
        </w:rPr>
        <w:instrText>http://www.ejustice.just.fgov.be/eli/decret/1999/03/11/1999027439/justel</w:instrText>
      </w:r>
      <w:r>
        <w:rPr>
          <w:rFonts w:cs="Verdana"/>
          <w:lang w:val="fr-FR" w:eastAsia="fr-FR"/>
        </w:rPr>
        <w:instrText xml:space="preserve">" </w:instrText>
      </w:r>
      <w:r>
        <w:rPr>
          <w:rFonts w:cs="Verdana"/>
          <w:lang w:val="fr-FR" w:eastAsia="fr-FR"/>
        </w:rPr>
        <w:fldChar w:fldCharType="separate"/>
      </w:r>
      <w:r w:rsidRPr="003620E1">
        <w:rPr>
          <w:rStyle w:val="Hyperlink"/>
          <w:rFonts w:cs="Verdana"/>
          <w:lang w:val="fr-FR" w:eastAsia="fr-FR"/>
        </w:rPr>
        <w:t>http://www.ejustice.just.fgov.be/eli/decret/1999/03/11/1999027439/justel</w:t>
      </w:r>
      <w:r>
        <w:rPr>
          <w:rFonts w:cs="Verdana"/>
          <w:lang w:val="fr-FR" w:eastAsia="fr-FR"/>
        </w:rPr>
        <w:fldChar w:fldCharType="end"/>
      </w:r>
      <w:r>
        <w:rPr>
          <w:rFonts w:cs="Verdana"/>
          <w:lang w:val="fr-FR" w:eastAsia="fr-FR"/>
        </w:rPr>
        <w:t xml:space="preserve"> </w:t>
      </w:r>
    </w:p>
    <w:p w:rsidR="00D474B0" w:rsidRDefault="00D474B0" w:rsidP="00D474B0">
      <w:pPr>
        <w:autoSpaceDE w:val="0"/>
        <w:autoSpaceDN w:val="0"/>
        <w:adjustRightInd w:val="0"/>
        <w:rPr>
          <w:rFonts w:cs="Verdana"/>
          <w:lang w:val="fr-FR" w:eastAsia="fr-FR"/>
        </w:rPr>
      </w:pPr>
    </w:p>
    <w:p w:rsidR="00D474B0" w:rsidRDefault="00D474B0" w:rsidP="00D474B0">
      <w:pPr>
        <w:autoSpaceDE w:val="0"/>
        <w:autoSpaceDN w:val="0"/>
        <w:adjustRightInd w:val="0"/>
        <w:jc w:val="left"/>
        <w:rPr>
          <w:rFonts w:cs="Verdana"/>
          <w:lang w:val="fr-FR" w:eastAsia="fr-FR"/>
        </w:rPr>
      </w:pPr>
      <w:r w:rsidRPr="00036AA8">
        <w:rPr>
          <w:rFonts w:cs="Verdana"/>
          <w:lang w:val="fr-FR" w:eastAsia="fr-FR"/>
        </w:rPr>
        <w:t>Ordonnance du 5 juin 1997 relative aux permis d'environnement</w:t>
      </w:r>
      <w:r>
        <w:rPr>
          <w:rFonts w:cs="Verdana"/>
          <w:lang w:val="fr-FR" w:eastAsia="fr-FR"/>
        </w:rPr>
        <w:t xml:space="preserve"> : </w:t>
      </w:r>
      <w:r>
        <w:rPr>
          <w:rFonts w:cs="Verdana"/>
          <w:lang w:val="fr-FR" w:eastAsia="fr-FR"/>
        </w:rPr>
        <w:fldChar w:fldCharType="begin"/>
      </w:r>
      <w:r>
        <w:rPr>
          <w:rFonts w:cs="Verdana"/>
          <w:lang w:val="fr-FR" w:eastAsia="fr-FR"/>
        </w:rPr>
        <w:instrText xml:space="preserve"> HYPERLINK "</w:instrText>
      </w:r>
      <w:r w:rsidRPr="00036AA8">
        <w:rPr>
          <w:rFonts w:cs="Verdana"/>
          <w:lang w:val="fr-FR" w:eastAsia="fr-FR"/>
        </w:rPr>
        <w:instrText>http://www.ejustice.just.fgov.be/eli/ordonnance/1997/06/05/1997031238/justel</w:instrText>
      </w:r>
      <w:r>
        <w:rPr>
          <w:rFonts w:cs="Verdana"/>
          <w:lang w:val="fr-FR" w:eastAsia="fr-FR"/>
        </w:rPr>
        <w:instrText xml:space="preserve">" </w:instrText>
      </w:r>
      <w:r>
        <w:rPr>
          <w:rFonts w:cs="Verdana"/>
          <w:lang w:val="fr-FR" w:eastAsia="fr-FR"/>
        </w:rPr>
        <w:fldChar w:fldCharType="separate"/>
      </w:r>
      <w:r w:rsidRPr="003620E1">
        <w:rPr>
          <w:rStyle w:val="Hyperlink"/>
          <w:rFonts w:cs="Verdana"/>
          <w:lang w:val="fr-FR" w:eastAsia="fr-FR"/>
        </w:rPr>
        <w:t>http://www.ejustice.just.fgov.be/eli/ordonnance/1997/06/05/1997031238/justel</w:t>
      </w:r>
      <w:r>
        <w:rPr>
          <w:rFonts w:cs="Verdana"/>
          <w:lang w:val="fr-FR" w:eastAsia="fr-FR"/>
        </w:rPr>
        <w:fldChar w:fldCharType="end"/>
      </w:r>
      <w:r>
        <w:rPr>
          <w:rFonts w:cs="Verdana"/>
          <w:lang w:val="fr-FR" w:eastAsia="fr-FR"/>
        </w:rPr>
        <w:t xml:space="preserve"> </w:t>
      </w:r>
    </w:p>
    <w:p w:rsidR="00D474B0" w:rsidRPr="00A91D76" w:rsidRDefault="00D474B0" w:rsidP="00D474B0">
      <w:pPr>
        <w:autoSpaceDE w:val="0"/>
        <w:autoSpaceDN w:val="0"/>
        <w:adjustRightInd w:val="0"/>
        <w:rPr>
          <w:rFonts w:cs="Verdana"/>
          <w:lang w:eastAsia="fr-FR"/>
        </w:rPr>
      </w:pPr>
    </w:p>
    <w:p w:rsidR="00D474B0" w:rsidRPr="00FD0A12" w:rsidRDefault="00D474B0" w:rsidP="00D474B0">
      <w:pPr>
        <w:autoSpaceDE w:val="0"/>
        <w:autoSpaceDN w:val="0"/>
        <w:adjustRightInd w:val="0"/>
        <w:jc w:val="left"/>
        <w:rPr>
          <w:rFonts w:cs="Verdana"/>
          <w:bCs/>
          <w:lang w:val="fr-FR" w:eastAsia="fr-FR"/>
        </w:rPr>
      </w:pPr>
      <w:r w:rsidRPr="00FD0A12">
        <w:rPr>
          <w:rFonts w:cs="Verdana"/>
          <w:bCs/>
          <w:lang w:val="fr-FR" w:eastAsia="fr-FR"/>
        </w:rPr>
        <w:t>Règlement Général sur les Installations Electriques</w:t>
      </w:r>
      <w:r>
        <w:rPr>
          <w:rFonts w:cs="Verdana"/>
          <w:bCs/>
          <w:lang w:val="fr-FR" w:eastAsia="fr-FR"/>
        </w:rPr>
        <w:t xml:space="preserve"> : </w:t>
      </w:r>
      <w:r>
        <w:rPr>
          <w:rFonts w:cs="Verdana"/>
          <w:bCs/>
          <w:lang w:val="fr-FR" w:eastAsia="fr-FR"/>
        </w:rPr>
        <w:fldChar w:fldCharType="begin"/>
      </w:r>
      <w:r>
        <w:rPr>
          <w:rFonts w:cs="Verdana"/>
          <w:bCs/>
          <w:lang w:val="fr-FR" w:eastAsia="fr-FR"/>
        </w:rPr>
        <w:instrText xml:space="preserve"> HYPERLINK "</w:instrText>
      </w:r>
      <w:r w:rsidRPr="00241591">
        <w:rPr>
          <w:rFonts w:cs="Verdana"/>
          <w:bCs/>
          <w:lang w:val="fr-FR" w:eastAsia="fr-FR"/>
        </w:rPr>
        <w:instrText>https://economie.fgov.be/fr/publications/reglement-general-sur-les</w:instrText>
      </w:r>
      <w:r>
        <w:rPr>
          <w:rFonts w:cs="Verdana"/>
          <w:bCs/>
          <w:lang w:val="fr-FR" w:eastAsia="fr-FR"/>
        </w:rPr>
        <w:instrText xml:space="preserve">" </w:instrText>
      </w:r>
      <w:r>
        <w:rPr>
          <w:rFonts w:cs="Verdana"/>
          <w:bCs/>
          <w:lang w:val="fr-FR" w:eastAsia="fr-FR"/>
        </w:rPr>
        <w:fldChar w:fldCharType="separate"/>
      </w:r>
      <w:r w:rsidRPr="003620E1">
        <w:rPr>
          <w:rStyle w:val="Hyperlink"/>
          <w:rFonts w:cs="Verdana"/>
          <w:bCs/>
          <w:lang w:val="fr-FR" w:eastAsia="fr-FR"/>
        </w:rPr>
        <w:t>https://economie.fgov.be/fr/publications/reglement-general-sur-les</w:t>
      </w:r>
      <w:r>
        <w:rPr>
          <w:rFonts w:cs="Verdana"/>
          <w:bCs/>
          <w:lang w:val="fr-FR" w:eastAsia="fr-FR"/>
        </w:rPr>
        <w:fldChar w:fldCharType="end"/>
      </w:r>
      <w:r>
        <w:rPr>
          <w:rFonts w:cs="Verdana"/>
          <w:bCs/>
          <w:lang w:val="fr-FR" w:eastAsia="fr-FR"/>
        </w:rPr>
        <w:t xml:space="preserve"> </w:t>
      </w:r>
    </w:p>
    <w:p w:rsidR="00D474B0" w:rsidRPr="00FD0A12" w:rsidRDefault="00D474B0" w:rsidP="00D474B0">
      <w:pPr>
        <w:autoSpaceDE w:val="0"/>
        <w:autoSpaceDN w:val="0"/>
        <w:adjustRightInd w:val="0"/>
        <w:rPr>
          <w:rFonts w:cs="Verdana"/>
          <w:bCs/>
          <w:lang w:val="fr-FR" w:eastAsia="fr-FR"/>
        </w:rPr>
      </w:pPr>
    </w:p>
    <w:p w:rsidR="00D474B0" w:rsidRDefault="00D474B0" w:rsidP="00D474B0">
      <w:pPr>
        <w:jc w:val="left"/>
      </w:pPr>
      <w:r>
        <w:t xml:space="preserve">Arrêté royal du </w:t>
      </w:r>
      <w:r w:rsidRPr="00FB5893">
        <w:t>12 avril 2016 concernant la mise à disposition sur le marché et le contrôle des explosifs à usage civil</w:t>
      </w:r>
      <w:r>
        <w:t xml:space="preserve"> : </w:t>
      </w:r>
      <w:hyperlink r:id="rId40" w:history="1">
        <w:r w:rsidRPr="007A45FB">
          <w:rPr>
            <w:rStyle w:val="Hyperlink"/>
          </w:rPr>
          <w:t>http://www.ejustice.just.fgov.be/eli/arrete/2016/04/12/2016011133/justel</w:t>
        </w:r>
      </w:hyperlink>
      <w:r>
        <w:t xml:space="preserve"> </w:t>
      </w:r>
    </w:p>
    <w:p w:rsidR="00D474B0" w:rsidRPr="00FD0A12" w:rsidRDefault="00D474B0" w:rsidP="00D474B0">
      <w:pPr>
        <w:autoSpaceDE w:val="0"/>
        <w:autoSpaceDN w:val="0"/>
        <w:adjustRightInd w:val="0"/>
      </w:pPr>
    </w:p>
    <w:p w:rsidR="00D474B0" w:rsidRDefault="00D474B0" w:rsidP="00D474B0">
      <w:pPr>
        <w:autoSpaceDE w:val="0"/>
        <w:autoSpaceDN w:val="0"/>
        <w:adjustRightInd w:val="0"/>
        <w:jc w:val="left"/>
      </w:pPr>
      <w:r w:rsidRPr="00FD0A12">
        <w:t>Arrêté Royal du 26 avril 2009 portant mise en œuvre d'un système d'identification et de traçabilité des explosifs à usage civil</w:t>
      </w:r>
      <w:r>
        <w:t xml:space="preserve"> : </w:t>
      </w:r>
      <w:r w:rsidRPr="00523D04">
        <w:t xml:space="preserve"> </w:t>
      </w:r>
      <w:hyperlink r:id="rId41" w:history="1">
        <w:r w:rsidRPr="003620E1">
          <w:rPr>
            <w:rStyle w:val="Hyperlink"/>
          </w:rPr>
          <w:t>h</w:t>
        </w:r>
        <w:r w:rsidRPr="003620E1">
          <w:rPr>
            <w:rStyle w:val="Hyperlink"/>
          </w:rPr>
          <w:t>ttp://www.ejustice.just.fgov.be/eli/arrete/2009/04/26/2009011157/justel</w:t>
        </w:r>
      </w:hyperlink>
      <w:r>
        <w:t xml:space="preserve"> </w:t>
      </w:r>
    </w:p>
    <w:p w:rsidR="00D474B0" w:rsidRPr="00FD0A12" w:rsidRDefault="00D474B0" w:rsidP="00D474B0">
      <w:pPr>
        <w:autoSpaceDE w:val="0"/>
        <w:autoSpaceDN w:val="0"/>
        <w:adjustRightInd w:val="0"/>
      </w:pPr>
    </w:p>
    <w:p w:rsidR="00D474B0" w:rsidRDefault="00D474B0" w:rsidP="00D474B0">
      <w:r w:rsidRPr="00FD0A12">
        <w:t xml:space="preserve">Arrêté Royal du </w:t>
      </w:r>
      <w:r>
        <w:t>20 octobre 2015</w:t>
      </w:r>
      <w:r w:rsidRPr="0020591E">
        <w:t xml:space="preserve"> concernant la mise à disposition sur le</w:t>
      </w:r>
      <w:r>
        <w:t xml:space="preserve"> marché d'articles </w:t>
      </w:r>
      <w:r w:rsidRPr="0020591E">
        <w:t>pyrotechniques</w:t>
      </w:r>
      <w:r>
        <w:t xml:space="preserve"> : </w:t>
      </w:r>
      <w:r w:rsidRPr="00523D04">
        <w:t xml:space="preserve"> </w:t>
      </w:r>
      <w:r>
        <w:fldChar w:fldCharType="begin"/>
      </w:r>
      <w:r>
        <w:instrText xml:space="preserve"> HYPERLINK "</w:instrText>
      </w:r>
      <w:r w:rsidRPr="00523D04">
        <w:instrText>http://www.ejustice.just.fgov.be/eli/arrete/2015/10/20/2015011410/justel</w:instrText>
      </w:r>
      <w:r>
        <w:instrText xml:space="preserve">" </w:instrText>
      </w:r>
      <w:r>
        <w:fldChar w:fldCharType="separate"/>
      </w:r>
      <w:r w:rsidRPr="003620E1">
        <w:rPr>
          <w:rStyle w:val="Hyperlink"/>
        </w:rPr>
        <w:t>http://www.ejustice.just.fgov.be/eli/arrete/2015/10/20/2015011410/justel</w:t>
      </w:r>
      <w:r>
        <w:fldChar w:fldCharType="end"/>
      </w:r>
      <w:r>
        <w:t xml:space="preserve"> </w:t>
      </w:r>
    </w:p>
    <w:p w:rsidR="00D474B0" w:rsidRPr="00FD0A12" w:rsidRDefault="00D474B0" w:rsidP="00D474B0">
      <w:pPr>
        <w:rPr>
          <w:bCs/>
          <w:color w:val="000000"/>
        </w:rPr>
      </w:pPr>
    </w:p>
    <w:p w:rsidR="00D474B0" w:rsidRDefault="00D474B0" w:rsidP="00D474B0">
      <w:pPr>
        <w:autoSpaceDE w:val="0"/>
        <w:autoSpaceDN w:val="0"/>
        <w:adjustRightInd w:val="0"/>
      </w:pPr>
      <w:r>
        <w:rPr>
          <w:bCs/>
          <w:color w:val="000000"/>
        </w:rPr>
        <w:t xml:space="preserve">ADR – Accord relatif au transport international </w:t>
      </w:r>
      <w:r w:rsidRPr="00FD0A12">
        <w:rPr>
          <w:bCs/>
          <w:color w:val="000000"/>
        </w:rPr>
        <w:t>des marchandises dangereuses</w:t>
      </w:r>
      <w:r>
        <w:rPr>
          <w:bCs/>
          <w:color w:val="000000"/>
        </w:rPr>
        <w:t xml:space="preserve"> par route</w:t>
      </w:r>
      <w:r w:rsidRPr="00FD0A12">
        <w:rPr>
          <w:bCs/>
          <w:color w:val="000000"/>
        </w:rPr>
        <w:t>,</w:t>
      </w:r>
      <w:r w:rsidRPr="00952470">
        <w:t xml:space="preserve"> </w:t>
      </w:r>
      <w:r w:rsidRPr="00EC06FB">
        <w:t>signé à Genève le 30 septembre 1957</w:t>
      </w:r>
      <w:r>
        <w:t xml:space="preserve"> : </w:t>
      </w:r>
      <w:bookmarkStart w:id="67" w:name="_Hlk66710364"/>
    </w:p>
    <w:p w:rsidR="00D474B0" w:rsidRPr="00FD0A12" w:rsidRDefault="00D474B0" w:rsidP="00D474B0">
      <w:pPr>
        <w:autoSpaceDE w:val="0"/>
        <w:autoSpaceDN w:val="0"/>
        <w:adjustRightInd w:val="0"/>
        <w:rPr>
          <w:bCs/>
          <w:color w:val="000000"/>
        </w:rPr>
      </w:pPr>
      <w:hyperlink r:id="rId42" w:history="1">
        <w:r w:rsidRPr="00DC4411">
          <w:rPr>
            <w:rStyle w:val="Hyperlink"/>
            <w:bCs/>
          </w:rPr>
          <w:t>https://unece.org/about-adr</w:t>
        </w:r>
      </w:hyperlink>
      <w:r>
        <w:rPr>
          <w:bCs/>
          <w:color w:val="000000"/>
        </w:rPr>
        <w:t xml:space="preserve"> et </w:t>
      </w:r>
      <w:hyperlink r:id="rId43" w:history="1">
        <w:r w:rsidRPr="003620E1">
          <w:rPr>
            <w:rStyle w:val="Hyperlink"/>
            <w:bCs/>
          </w:rPr>
          <w:t>https://unece.org/transportdangerous-goods/adr-2021-files</w:t>
        </w:r>
      </w:hyperlink>
      <w:r>
        <w:rPr>
          <w:bCs/>
          <w:color w:val="000000"/>
        </w:rPr>
        <w:t xml:space="preserve"> et </w:t>
      </w:r>
      <w:hyperlink r:id="rId44" w:history="1">
        <w:r w:rsidRPr="007A45FB">
          <w:rPr>
            <w:rStyle w:val="Hyperlink"/>
            <w:bCs/>
          </w:rPr>
          <w:t>https://www.vlaanderen.be/vervoer-van-gevaarlijke-goederen-over-de-weg-adr/regelgeving-adr#het-adr-2019-2021</w:t>
        </w:r>
      </w:hyperlink>
      <w:bookmarkEnd w:id="67"/>
    </w:p>
    <w:p w:rsidR="00D474B0" w:rsidRPr="00971A21" w:rsidRDefault="00D474B0" w:rsidP="00D474B0">
      <w:pPr>
        <w:rPr>
          <w:bCs/>
          <w:color w:val="000000"/>
        </w:rPr>
      </w:pPr>
    </w:p>
    <w:p w:rsidR="00971A21" w:rsidRPr="00971A21" w:rsidRDefault="00D474B0" w:rsidP="00971A21">
      <w:pPr>
        <w:rPr>
          <w:bCs/>
          <w:color w:val="000000"/>
        </w:rPr>
      </w:pPr>
      <w:r w:rsidRPr="00971A21">
        <w:rPr>
          <w:bCs/>
          <w:color w:val="000000"/>
        </w:rPr>
        <w:t xml:space="preserve">AASTP-1 : </w:t>
      </w:r>
      <w:r w:rsidR="00971A21" w:rsidRPr="00971A21">
        <w:rPr>
          <w:bCs/>
          <w:color w:val="000000"/>
        </w:rPr>
        <w:t xml:space="preserve">Directives OTAN pour le stockage </w:t>
      </w:r>
      <w:r w:rsidRPr="00971A21">
        <w:rPr>
          <w:bCs/>
          <w:color w:val="000000"/>
        </w:rPr>
        <w:t>des munitions et des explosifs militaires</w:t>
      </w:r>
      <w:r w:rsidR="00971A21">
        <w:rPr>
          <w:bCs/>
          <w:color w:val="000000"/>
        </w:rPr>
        <w:t xml:space="preserve"> </w:t>
      </w:r>
      <w:r w:rsidR="00971A21" w:rsidRPr="00971A21">
        <w:rPr>
          <w:bCs/>
          <w:color w:val="000000"/>
        </w:rPr>
        <w:t xml:space="preserve">: </w:t>
      </w:r>
    </w:p>
    <w:bookmarkStart w:id="68" w:name="_Hlk66883937"/>
    <w:p w:rsidR="00971A21" w:rsidRPr="00971A21" w:rsidRDefault="00971A21" w:rsidP="00971A21">
      <w:pPr>
        <w:rPr>
          <w:bCs/>
          <w:color w:val="000000"/>
        </w:rPr>
      </w:pPr>
      <w:r>
        <w:rPr>
          <w:bCs/>
          <w:color w:val="000000"/>
        </w:rPr>
        <w:fldChar w:fldCharType="begin"/>
      </w:r>
      <w:r>
        <w:rPr>
          <w:bCs/>
          <w:color w:val="000000"/>
        </w:rPr>
        <w:instrText xml:space="preserve"> HYPERLINK "</w:instrText>
      </w:r>
      <w:r w:rsidRPr="00971A21">
        <w:rPr>
          <w:bCs/>
          <w:color w:val="000000"/>
        </w:rPr>
        <w:instrText>https://www.ixarm.com/fr/node/844688</w:instrText>
      </w:r>
      <w:r>
        <w:rPr>
          <w:bCs/>
          <w:color w:val="000000"/>
        </w:rPr>
        <w:instrText xml:space="preserve">" </w:instrText>
      </w:r>
      <w:r>
        <w:rPr>
          <w:bCs/>
          <w:color w:val="000000"/>
        </w:rPr>
        <w:fldChar w:fldCharType="separate"/>
      </w:r>
      <w:r w:rsidRPr="007A45FB">
        <w:rPr>
          <w:rStyle w:val="Hyperlink"/>
          <w:bCs/>
        </w:rPr>
        <w:t>https://www.ixarm.com/fr/node/844688</w:t>
      </w:r>
      <w:r>
        <w:rPr>
          <w:bCs/>
          <w:color w:val="000000"/>
        </w:rPr>
        <w:fldChar w:fldCharType="end"/>
      </w:r>
      <w:r>
        <w:rPr>
          <w:bCs/>
          <w:color w:val="000000"/>
        </w:rPr>
        <w:t xml:space="preserve"> </w:t>
      </w:r>
    </w:p>
    <w:bookmarkEnd w:id="68"/>
    <w:p w:rsidR="00D474B0" w:rsidRPr="00DC4411" w:rsidRDefault="00D474B0" w:rsidP="00D474B0"/>
    <w:p w:rsidR="007B0FEC" w:rsidRDefault="00D474B0" w:rsidP="007B0FEC">
      <w:pPr>
        <w:jc w:val="left"/>
        <w:rPr>
          <w:rFonts w:ascii="Calibri" w:hAnsi="Calibri"/>
          <w:lang w:eastAsia="en-US"/>
        </w:rPr>
      </w:pPr>
      <w:r>
        <w:t>L</w:t>
      </w:r>
      <w:r w:rsidRPr="00A91D76">
        <w:t xml:space="preserve">es Directives </w:t>
      </w:r>
      <w:r w:rsidR="007B0FEC">
        <w:t>T</w:t>
      </w:r>
      <w:r w:rsidRPr="00A91D76">
        <w:t xml:space="preserve">echniques </w:t>
      </w:r>
      <w:r w:rsidR="007B0FEC">
        <w:t>I</w:t>
      </w:r>
      <w:r w:rsidRPr="00A91D76">
        <w:t xml:space="preserve">nternationale sur les munitions (IATG) </w:t>
      </w:r>
      <w:r>
        <w:t xml:space="preserve">: </w:t>
      </w:r>
      <w:r w:rsidR="007B0FEC">
        <w:br/>
      </w:r>
      <w:bookmarkStart w:id="69" w:name="_Hlk66970682"/>
      <w:r w:rsidR="007B0FEC">
        <w:fldChar w:fldCharType="begin"/>
      </w:r>
      <w:r w:rsidR="007B0FEC">
        <w:instrText xml:space="preserve"> HYPERLINK "https://unsaferguard.org/un-saferguard/guide-lines" </w:instrText>
      </w:r>
      <w:r w:rsidR="007B0FEC">
        <w:fldChar w:fldCharType="separate"/>
      </w:r>
      <w:r w:rsidR="007B0FEC">
        <w:rPr>
          <w:rStyle w:val="Hyperlink"/>
        </w:rPr>
        <w:t>https://unsaferguard.org/un-saferguard/guide-lines</w:t>
      </w:r>
      <w:r w:rsidR="007B0FEC">
        <w:fldChar w:fldCharType="end"/>
      </w:r>
      <w:bookmarkEnd w:id="69"/>
    </w:p>
    <w:p w:rsidR="00D474B0" w:rsidRPr="00DC4411" w:rsidRDefault="00D474B0" w:rsidP="00D474B0"/>
    <w:p w:rsidR="00D474B0" w:rsidRDefault="00D474B0" w:rsidP="00D474B0">
      <w:pPr>
        <w:jc w:val="left"/>
      </w:pPr>
      <w:r w:rsidRPr="00571359">
        <w:t xml:space="preserve">Le </w:t>
      </w:r>
      <w:r>
        <w:t>‘</w:t>
      </w:r>
      <w:r w:rsidRPr="00571359">
        <w:t>Guide de bonnes pratiques en pyrotechnie</w:t>
      </w:r>
      <w:r>
        <w:t>’</w:t>
      </w:r>
      <w:r w:rsidRPr="00571359">
        <w:t xml:space="preserve"> élaboré par le SFEPA avec tous les secteurs industriels de la pyrotechnie</w:t>
      </w:r>
      <w:r>
        <w:t xml:space="preserve"> : </w:t>
      </w:r>
      <w:bookmarkStart w:id="70" w:name="_Hlk66882720"/>
      <w:r>
        <w:br/>
      </w:r>
      <w:hyperlink r:id="rId45" w:history="1">
        <w:r w:rsidRPr="00C66D1F">
          <w:rPr>
            <w:rStyle w:val="Hyperlink"/>
          </w:rPr>
          <w:t>https://www.sfepa.com/guide-des-bonnes-pratiques/</w:t>
        </w:r>
      </w:hyperlink>
      <w:r>
        <w:t xml:space="preserve"> </w:t>
      </w:r>
    </w:p>
    <w:bookmarkEnd w:id="70"/>
    <w:p w:rsidR="00D474B0" w:rsidRPr="00571359" w:rsidRDefault="00D474B0" w:rsidP="00D474B0"/>
    <w:p w:rsidR="00D474B0" w:rsidRDefault="00D474B0" w:rsidP="00D474B0">
      <w:pPr>
        <w:jc w:val="left"/>
      </w:pPr>
      <w:r w:rsidRPr="00571359">
        <w:t>Recommandations ONU relatives au transport des matières dangereuses, Manuel d’épreuves et des critères</w:t>
      </w:r>
      <w:r>
        <w:t> :</w:t>
      </w:r>
      <w:r w:rsidRPr="00B43AAB">
        <w:t xml:space="preserve"> </w:t>
      </w:r>
      <w:bookmarkStart w:id="71" w:name="_Hlk66882748"/>
      <w:r>
        <w:fldChar w:fldCharType="begin"/>
      </w:r>
      <w:r>
        <w:instrText xml:space="preserve"> HYPERLINK "</w:instrText>
      </w:r>
      <w:r w:rsidRPr="00B43AAB">
        <w:instrText>https://unece.org/DAM/trans/danger/publi/manual/Rev4/French/01F_intro.pdf</w:instrText>
      </w:r>
      <w:r>
        <w:instrText xml:space="preserve">" </w:instrText>
      </w:r>
      <w:r>
        <w:fldChar w:fldCharType="separate"/>
      </w:r>
      <w:r w:rsidRPr="007A45FB">
        <w:rPr>
          <w:rStyle w:val="Hyperlink"/>
        </w:rPr>
        <w:t>https://unece.org/DAM/trans/danger/publi/manual/Rev4/French/01F_intro.pdf</w:t>
      </w:r>
      <w:r>
        <w:fldChar w:fldCharType="end"/>
      </w:r>
      <w:r>
        <w:t xml:space="preserve"> </w:t>
      </w:r>
    </w:p>
    <w:bookmarkEnd w:id="71"/>
    <w:p w:rsidR="00D474B0" w:rsidRPr="00571359" w:rsidRDefault="00D474B0" w:rsidP="00D474B0"/>
    <w:p w:rsidR="00D474B0" w:rsidRDefault="00D474B0" w:rsidP="00D474B0">
      <w:pPr>
        <w:jc w:val="left"/>
      </w:pPr>
      <w:r w:rsidRPr="00571359">
        <w:t>CLP : Règlement n° 1272/2008 du Parlement Européen et du Conseil du 16 décembre 2008 relatif à la classification, à l’étiquetage et à l’emballage des substances et des mélanges, modifiant et abrogeant les directives 67/548/CEE et 1999/45/CE et modifiant le règlement (CE) no 1907/2006</w:t>
      </w:r>
      <w:r>
        <w:t> :</w:t>
      </w:r>
    </w:p>
    <w:p w:rsidR="00D474B0" w:rsidRDefault="00D474B0" w:rsidP="00D474B0">
      <w:hyperlink r:id="rId46" w:history="1">
        <w:r w:rsidRPr="007A45FB">
          <w:rPr>
            <w:rStyle w:val="Hyperlink"/>
          </w:rPr>
          <w:t>https://eur-lex.europa.eu/legal-content/FR/LSU/?uri=celex%3A32008R1272</w:t>
        </w:r>
      </w:hyperlink>
      <w:r>
        <w:t xml:space="preserve"> </w:t>
      </w:r>
    </w:p>
    <w:p w:rsidR="00D474B0" w:rsidRDefault="00D474B0" w:rsidP="00D474B0"/>
    <w:p w:rsidR="00D474B0" w:rsidRDefault="00D474B0" w:rsidP="00D474B0">
      <w:r w:rsidRPr="00D3350F">
        <w:t>Guide sur l’application des critères CLP</w:t>
      </w:r>
      <w:r>
        <w:t> :</w:t>
      </w:r>
    </w:p>
    <w:p w:rsidR="00D474B0" w:rsidRPr="00D474B0" w:rsidRDefault="00D474B0" w:rsidP="00D474B0">
      <w:pPr>
        <w:rPr>
          <w:iCs/>
        </w:rPr>
      </w:pPr>
      <w:hyperlink r:id="rId47" w:history="1">
        <w:r w:rsidRPr="00B43AAB">
          <w:rPr>
            <w:rStyle w:val="Hyperlink"/>
          </w:rPr>
          <w:t>https://echa.europa.eu/fr/guidance-documents/guidance-on-clp</w:t>
        </w:r>
      </w:hyperlink>
    </w:p>
    <w:p w:rsidR="00905346" w:rsidRDefault="00905346" w:rsidP="00B67C87"/>
    <w:p w:rsidR="00AB5869" w:rsidRPr="00571359" w:rsidRDefault="00AB5869" w:rsidP="00FC3E62"/>
    <w:sectPr w:rsidR="00AB5869" w:rsidRPr="00571359" w:rsidSect="00D03E4A">
      <w:headerReference w:type="default" r:id="rId48"/>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6D2" w:rsidRDefault="003B26D2">
      <w:r>
        <w:separator/>
      </w:r>
    </w:p>
  </w:endnote>
  <w:endnote w:type="continuationSeparator" w:id="0">
    <w:p w:rsidR="003B26D2" w:rsidRDefault="003B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Bookman Light">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x-Regular">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EUAlbertina_Bold">
    <w:altName w:val="Calibri"/>
    <w:panose1 w:val="00000000000000000000"/>
    <w:charset w:val="00"/>
    <w:family w:val="auto"/>
    <w:notTrueType/>
    <w:pitch w:val="default"/>
    <w:sig w:usb0="00000003" w:usb1="00000000" w:usb2="00000000" w:usb3="00000000" w:csb0="00000001" w:csb1="00000000"/>
  </w:font>
  <w:font w:name="EUAlbertina_Bold_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Default="00F12CCF" w:rsidP="001B6DF5">
    <w:pPr>
      <w:pStyle w:val="Voettekst"/>
      <w:pBdr>
        <w:bottom w:val="single" w:sz="4" w:space="1" w:color="auto"/>
      </w:pBdr>
    </w:pPr>
    <w:r w:rsidRPr="001435DF">
      <w:rPr>
        <w:rStyle w:val="Paginanummer"/>
        <w:b/>
        <w:color w:val="808080"/>
        <w:sz w:val="36"/>
        <w:szCs w:val="36"/>
      </w:rPr>
      <w:fldChar w:fldCharType="begin"/>
    </w:r>
    <w:r w:rsidRPr="001435DF">
      <w:rPr>
        <w:rStyle w:val="Paginanummer"/>
        <w:b/>
        <w:color w:val="808080"/>
        <w:sz w:val="36"/>
        <w:szCs w:val="36"/>
      </w:rPr>
      <w:instrText xml:space="preserve"> PAGE </w:instrText>
    </w:r>
    <w:r w:rsidRPr="001435DF">
      <w:rPr>
        <w:rStyle w:val="Paginanummer"/>
        <w:b/>
        <w:color w:val="808080"/>
        <w:sz w:val="36"/>
        <w:szCs w:val="36"/>
      </w:rPr>
      <w:fldChar w:fldCharType="separate"/>
    </w:r>
    <w:r>
      <w:rPr>
        <w:rStyle w:val="Paginanummer"/>
        <w:b/>
        <w:noProof/>
        <w:color w:val="808080"/>
        <w:sz w:val="36"/>
        <w:szCs w:val="36"/>
      </w:rPr>
      <w:t>56</w:t>
    </w:r>
    <w:r w:rsidRPr="001435DF">
      <w:rPr>
        <w:rStyle w:val="Paginanummer"/>
        <w:b/>
        <w:color w:val="808080"/>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Pr="001435DF" w:rsidRDefault="00F12CCF" w:rsidP="001B6DF5">
    <w:pPr>
      <w:pStyle w:val="Voettekst"/>
      <w:pBdr>
        <w:bottom w:val="single" w:sz="4" w:space="1" w:color="auto"/>
      </w:pBdr>
      <w:jc w:val="right"/>
      <w:rPr>
        <w:b/>
        <w:color w:val="808080"/>
        <w:sz w:val="36"/>
        <w:szCs w:val="36"/>
      </w:rPr>
    </w:pPr>
    <w:r w:rsidRPr="001435DF">
      <w:rPr>
        <w:rStyle w:val="Paginanummer"/>
        <w:b/>
        <w:color w:val="808080"/>
        <w:sz w:val="36"/>
        <w:szCs w:val="36"/>
      </w:rPr>
      <w:fldChar w:fldCharType="begin"/>
    </w:r>
    <w:r w:rsidRPr="001435DF">
      <w:rPr>
        <w:rStyle w:val="Paginanummer"/>
        <w:b/>
        <w:color w:val="808080"/>
        <w:sz w:val="36"/>
        <w:szCs w:val="36"/>
      </w:rPr>
      <w:instrText xml:space="preserve"> PAGE </w:instrText>
    </w:r>
    <w:r w:rsidRPr="001435DF">
      <w:rPr>
        <w:rStyle w:val="Paginanummer"/>
        <w:b/>
        <w:color w:val="808080"/>
        <w:sz w:val="36"/>
        <w:szCs w:val="36"/>
      </w:rPr>
      <w:fldChar w:fldCharType="separate"/>
    </w:r>
    <w:r>
      <w:rPr>
        <w:rStyle w:val="Paginanummer"/>
        <w:b/>
        <w:noProof/>
        <w:color w:val="808080"/>
        <w:sz w:val="36"/>
        <w:szCs w:val="36"/>
      </w:rPr>
      <w:t>57</w:t>
    </w:r>
    <w:r w:rsidRPr="001435DF">
      <w:rPr>
        <w:rStyle w:val="Paginanummer"/>
        <w:b/>
        <w:color w:val="808080"/>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Pr="00C76804" w:rsidRDefault="00F12CCF" w:rsidP="001B6DF5">
    <w:pPr>
      <w:pStyle w:val="Voettekst"/>
      <w:pBdr>
        <w:bottom w:val="single" w:sz="4" w:space="1" w:color="auto"/>
      </w:pBdr>
      <w:rPr>
        <w:b/>
        <w:color w:val="808080"/>
        <w:sz w:val="36"/>
        <w:szCs w:val="36"/>
      </w:rPr>
    </w:pPr>
    <w:r w:rsidRPr="00C76804">
      <w:rPr>
        <w:rStyle w:val="Paginanummer"/>
        <w:b/>
        <w:color w:val="808080"/>
        <w:sz w:val="36"/>
        <w:szCs w:val="36"/>
      </w:rPr>
      <w:fldChar w:fldCharType="begin"/>
    </w:r>
    <w:r w:rsidRPr="00C76804">
      <w:rPr>
        <w:rStyle w:val="Paginanummer"/>
        <w:b/>
        <w:color w:val="808080"/>
        <w:sz w:val="36"/>
        <w:szCs w:val="36"/>
      </w:rPr>
      <w:instrText xml:space="preserve"> PAGE </w:instrText>
    </w:r>
    <w:r w:rsidRPr="00C76804">
      <w:rPr>
        <w:rStyle w:val="Paginanummer"/>
        <w:b/>
        <w:color w:val="808080"/>
        <w:sz w:val="36"/>
        <w:szCs w:val="36"/>
      </w:rPr>
      <w:fldChar w:fldCharType="separate"/>
    </w:r>
    <w:r>
      <w:rPr>
        <w:rStyle w:val="Paginanummer"/>
        <w:b/>
        <w:noProof/>
        <w:color w:val="808080"/>
        <w:sz w:val="36"/>
        <w:szCs w:val="36"/>
      </w:rPr>
      <w:t>2</w:t>
    </w:r>
    <w:r w:rsidRPr="00C76804">
      <w:rPr>
        <w:rStyle w:val="Paginanummer"/>
        <w:b/>
        <w:color w:val="808080"/>
        <w:sz w:val="36"/>
        <w:szCs w:val="3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C7D" w:rsidRPr="001435DF" w:rsidRDefault="005E6C7D" w:rsidP="001B6DF5">
    <w:pPr>
      <w:pStyle w:val="Voettekst"/>
      <w:pBdr>
        <w:bottom w:val="single" w:sz="4" w:space="1" w:color="auto"/>
      </w:pBdr>
      <w:jc w:val="right"/>
      <w:rPr>
        <w:b/>
        <w:color w:val="808080"/>
        <w:sz w:val="36"/>
        <w:szCs w:val="36"/>
      </w:rPr>
    </w:pPr>
    <w:r w:rsidRPr="001435DF">
      <w:rPr>
        <w:rStyle w:val="Paginanummer"/>
        <w:b/>
        <w:color w:val="808080"/>
        <w:sz w:val="36"/>
        <w:szCs w:val="36"/>
      </w:rPr>
      <w:fldChar w:fldCharType="begin"/>
    </w:r>
    <w:r w:rsidRPr="001435DF">
      <w:rPr>
        <w:rStyle w:val="Paginanummer"/>
        <w:b/>
        <w:color w:val="808080"/>
        <w:sz w:val="36"/>
        <w:szCs w:val="36"/>
      </w:rPr>
      <w:instrText xml:space="preserve"> PAGE </w:instrText>
    </w:r>
    <w:r w:rsidRPr="001435DF">
      <w:rPr>
        <w:rStyle w:val="Paginanummer"/>
        <w:b/>
        <w:color w:val="808080"/>
        <w:sz w:val="36"/>
        <w:szCs w:val="36"/>
      </w:rPr>
      <w:fldChar w:fldCharType="separate"/>
    </w:r>
    <w:r>
      <w:rPr>
        <w:rStyle w:val="Paginanummer"/>
        <w:b/>
        <w:noProof/>
        <w:color w:val="808080"/>
        <w:sz w:val="36"/>
        <w:szCs w:val="36"/>
      </w:rPr>
      <w:t>57</w:t>
    </w:r>
    <w:r w:rsidRPr="001435DF">
      <w:rPr>
        <w:rStyle w:val="Paginanummer"/>
        <w:b/>
        <w:color w:val="808080"/>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6D2" w:rsidRDefault="003B26D2">
      <w:r>
        <w:separator/>
      </w:r>
    </w:p>
  </w:footnote>
  <w:footnote w:type="continuationSeparator" w:id="0">
    <w:p w:rsidR="003B26D2" w:rsidRDefault="003B26D2">
      <w:r>
        <w:continuationSeparator/>
      </w:r>
    </w:p>
  </w:footnote>
  <w:footnote w:id="1">
    <w:p w:rsidR="00F12CCF" w:rsidRPr="00C64D09" w:rsidRDefault="00F12CCF" w:rsidP="00907C2B">
      <w:pPr>
        <w:pStyle w:val="Voetnoottekst"/>
        <w:rPr>
          <w:lang w:val="fr-FR"/>
        </w:rPr>
      </w:pPr>
      <w:r w:rsidRPr="00300FE1">
        <w:rPr>
          <w:rStyle w:val="Voetnootmarkering"/>
          <w:sz w:val="16"/>
          <w:szCs w:val="16"/>
        </w:rPr>
        <w:footnoteRef/>
      </w:r>
      <w:r w:rsidRPr="00300FE1">
        <w:rPr>
          <w:sz w:val="16"/>
          <w:szCs w:val="16"/>
          <w:lang w:val="fr-FR"/>
        </w:rPr>
        <w:t xml:space="preserve"> Directive</w:t>
      </w:r>
      <w:r w:rsidRPr="00C64D09">
        <w:rPr>
          <w:lang w:val="fr-FR"/>
        </w:rPr>
        <w:t xml:space="preserve"> </w:t>
      </w:r>
      <w:r>
        <w:rPr>
          <w:sz w:val="16"/>
          <w:szCs w:val="16"/>
          <w:lang w:val="fr-FR"/>
        </w:rPr>
        <w:t xml:space="preserve">2012/18/UE du 4 juillet 2012 </w:t>
      </w:r>
      <w:r w:rsidRPr="00C64D09">
        <w:rPr>
          <w:sz w:val="16"/>
          <w:szCs w:val="16"/>
          <w:lang w:val="fr-FR"/>
        </w:rPr>
        <w:t xml:space="preserve">du Parlement européen </w:t>
      </w:r>
      <w:r>
        <w:rPr>
          <w:sz w:val="16"/>
          <w:szCs w:val="16"/>
          <w:lang w:val="fr-FR"/>
        </w:rPr>
        <w:t xml:space="preserve">et </w:t>
      </w:r>
      <w:r w:rsidRPr="00C64D09">
        <w:rPr>
          <w:sz w:val="16"/>
          <w:szCs w:val="16"/>
          <w:lang w:val="fr-FR"/>
        </w:rPr>
        <w:t>du Conseil, concernant la maîtrise des dangers liés aux accidents majeurs impliquant des substances dangereuses</w:t>
      </w:r>
      <w:r>
        <w:rPr>
          <w:sz w:val="16"/>
          <w:szCs w:val="16"/>
          <w:lang w:val="fr-FR"/>
        </w:rPr>
        <w:t>, modifiant puis abrogeant la directive 96/82 du Conseil (dite Directive Seveso II)</w:t>
      </w:r>
      <w:r w:rsidRPr="00C64D09">
        <w:rPr>
          <w:sz w:val="16"/>
          <w:szCs w:val="16"/>
          <w:lang w:val="fr-FR"/>
        </w:rPr>
        <w:t>. Cette directive est aussi communément appelée “</w:t>
      </w:r>
      <w:r>
        <w:rPr>
          <w:sz w:val="16"/>
          <w:szCs w:val="16"/>
          <w:lang w:val="fr-FR"/>
        </w:rPr>
        <w:t xml:space="preserve">Directive </w:t>
      </w:r>
      <w:r w:rsidRPr="00C64D09">
        <w:rPr>
          <w:sz w:val="16"/>
          <w:szCs w:val="16"/>
          <w:lang w:val="fr-FR"/>
        </w:rPr>
        <w:t>Seveso II</w:t>
      </w:r>
      <w:r>
        <w:rPr>
          <w:sz w:val="16"/>
          <w:szCs w:val="16"/>
          <w:lang w:val="fr-FR"/>
        </w:rPr>
        <w:t>I</w:t>
      </w:r>
      <w:r w:rsidRPr="00C64D09">
        <w:rPr>
          <w:sz w:val="16"/>
          <w:szCs w:val="16"/>
          <w:lang w:val="fr-FR"/>
        </w:rPr>
        <w:t>”.</w:t>
      </w:r>
    </w:p>
  </w:footnote>
  <w:footnote w:id="2">
    <w:p w:rsidR="00F12CCF" w:rsidRPr="00300FE1" w:rsidRDefault="00F12CCF" w:rsidP="00907C2B">
      <w:pPr>
        <w:pStyle w:val="Voetnoottekst"/>
        <w:rPr>
          <w:lang w:val="fr-FR"/>
        </w:rPr>
      </w:pPr>
      <w:r>
        <w:rPr>
          <w:rStyle w:val="Voetnootmarkering"/>
        </w:rPr>
        <w:footnoteRef/>
      </w:r>
      <w:r w:rsidRPr="00300FE1">
        <w:rPr>
          <w:lang w:val="fr-FR"/>
        </w:rPr>
        <w:t xml:space="preserve"> </w:t>
      </w:r>
      <w:r w:rsidRPr="00B42D1E">
        <w:rPr>
          <w:sz w:val="16"/>
          <w:szCs w:val="16"/>
          <w:lang w:val="fr-FR"/>
        </w:rPr>
        <w:t xml:space="preserve">L’accord de coopération du </w:t>
      </w:r>
      <w:r>
        <w:rPr>
          <w:sz w:val="16"/>
          <w:szCs w:val="16"/>
          <w:lang w:val="fr-FR"/>
        </w:rPr>
        <w:t>16 février 2016</w:t>
      </w:r>
      <w:r w:rsidRPr="00B42D1E">
        <w:rPr>
          <w:sz w:val="16"/>
          <w:szCs w:val="16"/>
          <w:lang w:val="fr-FR"/>
        </w:rPr>
        <w:t xml:space="preserve"> entre l’Etat fédéral, l</w:t>
      </w:r>
      <w:r>
        <w:rPr>
          <w:sz w:val="16"/>
          <w:szCs w:val="16"/>
          <w:lang w:val="fr-FR"/>
        </w:rPr>
        <w:t>a</w:t>
      </w:r>
      <w:r w:rsidRPr="00B42D1E">
        <w:rPr>
          <w:sz w:val="16"/>
          <w:szCs w:val="16"/>
          <w:lang w:val="fr-FR"/>
        </w:rPr>
        <w:t xml:space="preserve"> Région flamande, </w:t>
      </w:r>
      <w:r>
        <w:rPr>
          <w:sz w:val="16"/>
          <w:szCs w:val="16"/>
          <w:lang w:val="fr-FR"/>
        </w:rPr>
        <w:t xml:space="preserve">la Région </w:t>
      </w:r>
      <w:r w:rsidRPr="00B42D1E">
        <w:rPr>
          <w:sz w:val="16"/>
          <w:szCs w:val="16"/>
          <w:lang w:val="fr-FR"/>
        </w:rPr>
        <w:t xml:space="preserve">wallonne et </w:t>
      </w:r>
      <w:smartTag w:uri="urn:schemas-microsoft-com:office:smarttags" w:element="PersonName">
        <w:smartTagPr>
          <w:attr w:name="ProductID" w:val="la R￩gion"/>
        </w:smartTagPr>
        <w:r w:rsidRPr="00B42D1E">
          <w:rPr>
            <w:sz w:val="16"/>
            <w:szCs w:val="16"/>
            <w:lang w:val="fr-FR"/>
          </w:rPr>
          <w:t>la Région</w:t>
        </w:r>
      </w:smartTag>
      <w:r w:rsidRPr="00B42D1E">
        <w:rPr>
          <w:sz w:val="16"/>
          <w:szCs w:val="16"/>
          <w:lang w:val="fr-FR"/>
        </w:rPr>
        <w:t xml:space="preserve"> de Bruxelles-Capitale concernant la maîtrise des </w:t>
      </w:r>
      <w:r>
        <w:rPr>
          <w:sz w:val="16"/>
          <w:szCs w:val="16"/>
          <w:lang w:val="fr-FR"/>
        </w:rPr>
        <w:t xml:space="preserve">dangers liés aux </w:t>
      </w:r>
      <w:r w:rsidRPr="00B42D1E">
        <w:rPr>
          <w:sz w:val="16"/>
          <w:szCs w:val="16"/>
          <w:lang w:val="fr-FR"/>
        </w:rPr>
        <w:t>accidents majeurs impliquant des substances dangereuses</w:t>
      </w:r>
      <w:r>
        <w:rPr>
          <w:sz w:val="16"/>
          <w:szCs w:val="16"/>
          <w:lang w:val="fr-FR"/>
        </w:rPr>
        <w:t>.</w:t>
      </w:r>
    </w:p>
  </w:footnote>
  <w:footnote w:id="3">
    <w:p w:rsidR="00F12CCF" w:rsidRPr="001B44D3" w:rsidRDefault="00F12CCF" w:rsidP="001B44D3">
      <w:pPr>
        <w:rPr>
          <w:sz w:val="16"/>
          <w:szCs w:val="16"/>
        </w:rPr>
      </w:pPr>
      <w:r>
        <w:rPr>
          <w:rStyle w:val="Voetnootmarkering"/>
        </w:rPr>
        <w:footnoteRef/>
      </w:r>
      <w:r>
        <w:t xml:space="preserve"> </w:t>
      </w:r>
      <w:r w:rsidRPr="001B44D3">
        <w:rPr>
          <w:sz w:val="16"/>
          <w:szCs w:val="16"/>
        </w:rPr>
        <w:t xml:space="preserve">Ce règlement CLP est largement inspiré de la classification au transport reprise au chapitre 2.2, à quelques termes utilisés près. </w:t>
      </w:r>
    </w:p>
    <w:p w:rsidR="00F12CCF" w:rsidRPr="001B44D3" w:rsidRDefault="00F12CCF" w:rsidP="001B44D3">
      <w:pPr>
        <w:rPr>
          <w:sz w:val="16"/>
          <w:szCs w:val="16"/>
        </w:rPr>
      </w:pPr>
    </w:p>
    <w:p w:rsidR="00F12CCF" w:rsidRPr="001B44D3" w:rsidRDefault="00F12CCF" w:rsidP="001B44D3">
      <w:pPr>
        <w:rPr>
          <w:sz w:val="16"/>
          <w:szCs w:val="16"/>
        </w:rPr>
      </w:pPr>
      <w:r w:rsidRPr="001B44D3">
        <w:rPr>
          <w:sz w:val="16"/>
          <w:szCs w:val="16"/>
        </w:rPr>
        <w:t>L’annexe 1 section 2.1 du règlement CLP définit la classe des « explosibles » (largement comparable à la classe 1 de la classification au transport).</w:t>
      </w:r>
    </w:p>
    <w:p w:rsidR="00F12CCF" w:rsidRDefault="00F12CCF">
      <w:pPr>
        <w:pStyle w:val="Voetnoottekst"/>
      </w:pPr>
    </w:p>
  </w:footnote>
  <w:footnote w:id="4">
    <w:p w:rsidR="00F12CCF" w:rsidRPr="00571359" w:rsidRDefault="00F12CCF">
      <w:pPr>
        <w:pStyle w:val="Voetnoottekst"/>
        <w:rPr>
          <w:lang w:val="fr-FR"/>
        </w:rPr>
      </w:pPr>
      <w:r>
        <w:rPr>
          <w:rStyle w:val="Voetnootmarkering"/>
        </w:rPr>
        <w:footnoteRef/>
      </w:r>
      <w:r>
        <w:t xml:space="preserve"> </w:t>
      </w:r>
      <w:r w:rsidRPr="00B42D1E">
        <w:rPr>
          <w:sz w:val="16"/>
          <w:szCs w:val="16"/>
          <w:lang w:val="fr-FR"/>
        </w:rPr>
        <w:t xml:space="preserve">L’accord de coopération du </w:t>
      </w:r>
      <w:r>
        <w:rPr>
          <w:sz w:val="16"/>
          <w:szCs w:val="16"/>
          <w:lang w:val="fr-FR"/>
        </w:rPr>
        <w:t>16 février 2016</w:t>
      </w:r>
      <w:r w:rsidRPr="00B42D1E">
        <w:rPr>
          <w:sz w:val="16"/>
          <w:szCs w:val="16"/>
          <w:lang w:val="fr-FR"/>
        </w:rPr>
        <w:t xml:space="preserve"> entre l’Etat fédéral, l</w:t>
      </w:r>
      <w:r>
        <w:rPr>
          <w:sz w:val="16"/>
          <w:szCs w:val="16"/>
          <w:lang w:val="fr-FR"/>
        </w:rPr>
        <w:t>a</w:t>
      </w:r>
      <w:r w:rsidRPr="00B42D1E">
        <w:rPr>
          <w:sz w:val="16"/>
          <w:szCs w:val="16"/>
          <w:lang w:val="fr-FR"/>
        </w:rPr>
        <w:t xml:space="preserve"> Région flamande, </w:t>
      </w:r>
      <w:r>
        <w:rPr>
          <w:sz w:val="16"/>
          <w:szCs w:val="16"/>
          <w:lang w:val="fr-FR"/>
        </w:rPr>
        <w:t xml:space="preserve">la Région </w:t>
      </w:r>
      <w:r w:rsidRPr="00B42D1E">
        <w:rPr>
          <w:sz w:val="16"/>
          <w:szCs w:val="16"/>
          <w:lang w:val="fr-FR"/>
        </w:rPr>
        <w:t xml:space="preserve">wallonne et </w:t>
      </w:r>
      <w:smartTag w:uri="urn:schemas-microsoft-com:office:smarttags" w:element="PersonName">
        <w:smartTagPr>
          <w:attr w:name="ProductID" w:val="la R￩gion"/>
        </w:smartTagPr>
        <w:r w:rsidRPr="00B42D1E">
          <w:rPr>
            <w:sz w:val="16"/>
            <w:szCs w:val="16"/>
            <w:lang w:val="fr-FR"/>
          </w:rPr>
          <w:t>la Région</w:t>
        </w:r>
      </w:smartTag>
      <w:r w:rsidRPr="00B42D1E">
        <w:rPr>
          <w:sz w:val="16"/>
          <w:szCs w:val="16"/>
          <w:lang w:val="fr-FR"/>
        </w:rPr>
        <w:t xml:space="preserve"> de Bruxelles-Capitale concernant la maîtrise des </w:t>
      </w:r>
      <w:r>
        <w:rPr>
          <w:sz w:val="16"/>
          <w:szCs w:val="16"/>
          <w:lang w:val="fr-FR"/>
        </w:rPr>
        <w:t xml:space="preserve">dangers liés aux </w:t>
      </w:r>
      <w:r w:rsidRPr="00B42D1E">
        <w:rPr>
          <w:sz w:val="16"/>
          <w:szCs w:val="16"/>
          <w:lang w:val="fr-FR"/>
        </w:rPr>
        <w:t>accidents majeurs impliquant des substances dangereuses</w:t>
      </w:r>
      <w:r>
        <w:rPr>
          <w:sz w:val="16"/>
          <w:szCs w:val="16"/>
          <w:lang w:val="fr-FR"/>
        </w:rPr>
        <w:t>.</w:t>
      </w:r>
    </w:p>
  </w:footnote>
  <w:footnote w:id="5">
    <w:p w:rsidR="00F12CCF" w:rsidRDefault="00F12CCF">
      <w:pPr>
        <w:pStyle w:val="Voetnoottekst"/>
      </w:pPr>
      <w:r>
        <w:rPr>
          <w:rStyle w:val="Voetnootmarkering"/>
        </w:rPr>
        <w:footnoteRef/>
      </w:r>
      <w:r>
        <w:t xml:space="preserve"> </w:t>
      </w:r>
      <w:r w:rsidRPr="008822AF">
        <w:rPr>
          <w:sz w:val="16"/>
          <w:szCs w:val="16"/>
        </w:rPr>
        <w:t>Les établissements possédant une quantité de substances explosibles plus grande que le seuil bas sont considérés comme établissements Seveso « seuil bas », ceux possédant une quantité supérieure au seuil haut sont considérés comme établissements Seveso « seuil haut ».</w:t>
      </w:r>
      <w:r>
        <w:t xml:space="preserve"> </w:t>
      </w:r>
    </w:p>
  </w:footnote>
  <w:footnote w:id="6">
    <w:p w:rsidR="00F12CCF" w:rsidRPr="00841043" w:rsidRDefault="00F12CCF" w:rsidP="004A1D99">
      <w:pPr>
        <w:pStyle w:val="Kop2"/>
        <w:numPr>
          <w:ilvl w:val="0"/>
          <w:numId w:val="0"/>
        </w:numPr>
        <w:ind w:left="142" w:hanging="142"/>
        <w:jc w:val="left"/>
      </w:pPr>
      <w:r w:rsidRPr="006F4961">
        <w:rPr>
          <w:rStyle w:val="Voetnootmarkering"/>
          <w:b w:val="0"/>
          <w:bCs w:val="0"/>
          <w:i w:val="0"/>
          <w:iCs w:val="0"/>
          <w:sz w:val="20"/>
          <w:szCs w:val="20"/>
          <w:lang w:val="fr-BE"/>
        </w:rPr>
        <w:footnoteRef/>
      </w:r>
      <w:r w:rsidRPr="006F4961">
        <w:rPr>
          <w:rStyle w:val="Voetnootmarkering"/>
          <w:b w:val="0"/>
          <w:bCs w:val="0"/>
          <w:i w:val="0"/>
          <w:iCs w:val="0"/>
          <w:sz w:val="20"/>
          <w:szCs w:val="20"/>
          <w:lang w:val="fr-BE"/>
        </w:rPr>
        <w:t xml:space="preserve"> </w:t>
      </w:r>
      <w:r w:rsidRPr="006F4961">
        <w:rPr>
          <w:b w:val="0"/>
          <w:bCs w:val="0"/>
          <w:i w:val="0"/>
          <w:iCs w:val="0"/>
          <w:sz w:val="20"/>
          <w:szCs w:val="20"/>
          <w:lang w:val="fr-BE"/>
        </w:rPr>
        <w:t xml:space="preserve"> </w:t>
      </w:r>
      <w:r w:rsidRPr="006F4961">
        <w:rPr>
          <w:b w:val="0"/>
          <w:bCs w:val="0"/>
          <w:i w:val="0"/>
          <w:iCs w:val="0"/>
          <w:sz w:val="16"/>
          <w:szCs w:val="16"/>
          <w:lang w:val="fr-BE"/>
        </w:rPr>
        <w:t>Ce chapitre est donné à titre informatif. L’objectif des inspections Seveso n’est pas de réaliser un contrôle de la mise sur le marché</w:t>
      </w:r>
      <w:r>
        <w:rPr>
          <w:b w:val="0"/>
          <w:bCs w:val="0"/>
          <w:i w:val="0"/>
          <w:iCs w:val="0"/>
          <w:sz w:val="16"/>
          <w:szCs w:val="16"/>
          <w:lang w:val="fr-BE"/>
        </w:rPr>
        <w:t xml:space="preserve"> des explosifs</w:t>
      </w:r>
      <w:r w:rsidRPr="006F4961">
        <w:rPr>
          <w:b w:val="0"/>
          <w:bCs w:val="0"/>
          <w:i w:val="0"/>
          <w:iCs w:val="0"/>
          <w:sz w:val="16"/>
          <w:szCs w:val="16"/>
          <w:lang w:val="fr-BE"/>
        </w:rPr>
        <w:t>.</w:t>
      </w:r>
      <w:r w:rsidRPr="006F4961">
        <w:rPr>
          <w:rStyle w:val="Voetnootmarkering"/>
          <w:b w:val="0"/>
          <w:bCs w:val="0"/>
          <w:i w:val="0"/>
          <w:iCs w:val="0"/>
          <w:sz w:val="20"/>
          <w:szCs w:val="20"/>
          <w:lang w:val="fr-BE"/>
        </w:rPr>
        <w:t xml:space="preserve"> </w:t>
      </w:r>
    </w:p>
  </w:footnote>
  <w:footnote w:id="7">
    <w:p w:rsidR="00F12CCF" w:rsidRDefault="00F12CCF">
      <w:pPr>
        <w:pStyle w:val="Voetnoottekst"/>
      </w:pPr>
      <w:r>
        <w:rPr>
          <w:rStyle w:val="Voetnootmarkering"/>
        </w:rPr>
        <w:footnoteRef/>
      </w:r>
      <w:r>
        <w:t xml:space="preserve"> </w:t>
      </w:r>
      <w:r w:rsidRPr="00D725A2">
        <w:rPr>
          <w:sz w:val="16"/>
          <w:szCs w:val="16"/>
        </w:rPr>
        <w:t>Les explosifs à usage civil et les articles pyrotechniques sont compris dans la classe des explosibles.</w:t>
      </w:r>
    </w:p>
  </w:footnote>
  <w:footnote w:id="8">
    <w:p w:rsidR="00F12CCF" w:rsidRPr="008E0780" w:rsidRDefault="00F12CCF" w:rsidP="00E73CFD">
      <w:pPr>
        <w:autoSpaceDE w:val="0"/>
        <w:autoSpaceDN w:val="0"/>
        <w:adjustRightInd w:val="0"/>
        <w:rPr>
          <w:sz w:val="16"/>
          <w:szCs w:val="16"/>
          <w:lang w:val="fr-FR"/>
        </w:rPr>
      </w:pPr>
      <w:r>
        <w:rPr>
          <w:rStyle w:val="Voetnootmarkering"/>
        </w:rPr>
        <w:footnoteRef/>
      </w:r>
      <w:r w:rsidRPr="008E0780">
        <w:rPr>
          <w:sz w:val="16"/>
          <w:szCs w:val="16"/>
          <w:lang w:val="fr-FR"/>
        </w:rPr>
        <w:t xml:space="preserve"> PES = </w:t>
      </w:r>
      <w:proofErr w:type="spellStart"/>
      <w:r w:rsidRPr="008E0780">
        <w:rPr>
          <w:sz w:val="16"/>
          <w:szCs w:val="16"/>
        </w:rPr>
        <w:t>potential</w:t>
      </w:r>
      <w:proofErr w:type="spellEnd"/>
      <w:r w:rsidRPr="008E0780">
        <w:rPr>
          <w:sz w:val="16"/>
          <w:szCs w:val="16"/>
        </w:rPr>
        <w:t xml:space="preserve"> explosive site : emplacement d'une masse d'explosifs qui, en cas d'explosion accidentelle, créera un danger par effet de souffle, effet thermique, projection d'éclats ou de débris.</w:t>
      </w:r>
    </w:p>
    <w:p w:rsidR="00F12CCF" w:rsidRPr="00FE3B76" w:rsidRDefault="00F12CCF" w:rsidP="00E73CFD">
      <w:pPr>
        <w:pStyle w:val="Voetnootteks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Pr="00D03E4A" w:rsidRDefault="00F12CCF" w:rsidP="00D03E4A">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Pr="00D149D2" w:rsidRDefault="00F12CCF" w:rsidP="00554A38">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Explosibles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CF" w:rsidRPr="00907C2B" w:rsidRDefault="00F12CCF" w:rsidP="00907C2B">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Explosibles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2B0" w:rsidRPr="00D149D2" w:rsidRDefault="00F172B0" w:rsidP="00F172B0">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Explosibles</w:t>
    </w:r>
  </w:p>
  <w:p w:rsidR="00F12CCF" w:rsidRPr="00F12CCF" w:rsidRDefault="00F172B0" w:rsidP="00F12CCF">
    <w:pPr>
      <w:pStyle w:val="Koptekst"/>
      <w:jc w:val="center"/>
      <w:rPr>
        <w:lang w:val="en-US"/>
      </w:rPr>
    </w:pPr>
    <w:r>
      <w:rPr>
        <w:rFonts w:ascii="Times New Roman" w:hAnsi="Times New Roman"/>
        <w:b/>
        <w:i/>
        <w:sz w:val="36"/>
        <w:szCs w:val="36"/>
        <w:lang w:val="en-US"/>
      </w:rPr>
      <w:t>C</w:t>
    </w:r>
    <w:r w:rsidR="00F12CCF" w:rsidRPr="00F172B0">
      <w:rPr>
        <w:rFonts w:ascii="Times New Roman" w:hAnsi="Times New Roman"/>
        <w:b/>
        <w:i/>
        <w:sz w:val="36"/>
        <w:szCs w:val="36"/>
        <w:lang w:val="en-US"/>
      </w:rPr>
      <w:t xml:space="preserve">heck-list </w:t>
    </w:r>
    <w:r w:rsidR="008F7B84">
      <w:rPr>
        <w:rFonts w:ascii="Times New Roman" w:hAnsi="Times New Roman"/>
        <w:b/>
        <w:i/>
        <w:sz w:val="36"/>
        <w:szCs w:val="36"/>
        <w:lang w:val="en-US"/>
      </w:rPr>
      <w:t>administrative</w:t>
    </w:r>
  </w:p>
  <w:p w:rsidR="00F12CCF" w:rsidRPr="00F12CCF" w:rsidRDefault="00F12CCF" w:rsidP="00F12CCF">
    <w:pPr>
      <w:pStyle w:val="Kopteks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B84" w:rsidRPr="00D149D2" w:rsidRDefault="008F7B84" w:rsidP="00F172B0">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Explosibles</w:t>
    </w:r>
  </w:p>
  <w:p w:rsidR="008F7B84" w:rsidRPr="00F12CCF" w:rsidRDefault="008F7B84" w:rsidP="00F12CCF">
    <w:pPr>
      <w:pStyle w:val="Koptekst"/>
      <w:jc w:val="center"/>
      <w:rPr>
        <w:lang w:val="en-US"/>
      </w:rPr>
    </w:pPr>
    <w:r>
      <w:rPr>
        <w:rFonts w:ascii="Times New Roman" w:hAnsi="Times New Roman"/>
        <w:b/>
        <w:i/>
        <w:sz w:val="36"/>
        <w:szCs w:val="36"/>
        <w:lang w:val="en-US"/>
      </w:rPr>
      <w:t>C</w:t>
    </w:r>
    <w:r w:rsidRPr="00F172B0">
      <w:rPr>
        <w:rFonts w:ascii="Times New Roman" w:hAnsi="Times New Roman"/>
        <w:b/>
        <w:i/>
        <w:sz w:val="36"/>
        <w:szCs w:val="36"/>
        <w:lang w:val="en-US"/>
      </w:rPr>
      <w:t xml:space="preserve">heck-list </w:t>
    </w:r>
    <w:r>
      <w:rPr>
        <w:rFonts w:ascii="Times New Roman" w:hAnsi="Times New Roman"/>
        <w:b/>
        <w:i/>
        <w:sz w:val="36"/>
        <w:szCs w:val="36"/>
        <w:lang w:val="en-US"/>
      </w:rPr>
      <w:t>sur site</w:t>
    </w:r>
  </w:p>
  <w:p w:rsidR="008F7B84" w:rsidRPr="00F12CCF" w:rsidRDefault="008F7B84" w:rsidP="00F12CCF">
    <w:pPr>
      <w:pStyle w:val="Kopteks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E72" w:rsidRPr="00D149D2" w:rsidRDefault="00294E72" w:rsidP="00294E72">
    <w:pPr>
      <w:pStyle w:val="Koptekst"/>
      <w:pBdr>
        <w:top w:val="single" w:sz="4" w:space="1" w:color="auto"/>
      </w:pBdr>
      <w:tabs>
        <w:tab w:val="clear" w:pos="8640"/>
        <w:tab w:val="right" w:pos="8789"/>
        <w:tab w:val="right" w:pos="14175"/>
      </w:tabs>
      <w:rPr>
        <w:sz w:val="16"/>
        <w:szCs w:val="16"/>
      </w:rPr>
    </w:pPr>
    <w:r>
      <w:rPr>
        <w:sz w:val="16"/>
        <w:szCs w:val="16"/>
      </w:rPr>
      <w:t>Outil d’inspection Stockage de Substances Explosibles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EA6"/>
    <w:multiLevelType w:val="multilevel"/>
    <w:tmpl w:val="15E8BF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space"/>
      <w:lvlText w:val="%4."/>
      <w:lvlJc w:val="left"/>
      <w:pPr>
        <w:ind w:left="864" w:hanging="864"/>
      </w:pPr>
      <w:rPr>
        <w:rFonts w:hint="default"/>
      </w:rPr>
    </w:lvl>
    <w:lvl w:ilvl="4">
      <w:start w:val="1"/>
      <w:numFmt w:val="lowerLetter"/>
      <w:pStyle w:val="Kop5"/>
      <w:suff w:val="space"/>
      <w:lvlText w:val="%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B85080"/>
    <w:multiLevelType w:val="hybridMultilevel"/>
    <w:tmpl w:val="E47AA480"/>
    <w:lvl w:ilvl="0" w:tplc="3BE4EF24">
      <w:numFmt w:val="bullet"/>
      <w:lvlText w:val="-"/>
      <w:lvlJc w:val="left"/>
      <w:pPr>
        <w:tabs>
          <w:tab w:val="num" w:pos="720"/>
        </w:tabs>
        <w:ind w:left="720" w:hanging="360"/>
      </w:pPr>
      <w:rPr>
        <w:rFonts w:ascii="Verdana" w:eastAsia="ITC Bookman Light" w:hAnsi="Verdana" w:cs="Verdan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1072C"/>
    <w:multiLevelType w:val="hybridMultilevel"/>
    <w:tmpl w:val="FD4CD982"/>
    <w:lvl w:ilvl="0" w:tplc="115E93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2F1E51"/>
    <w:multiLevelType w:val="hybridMultilevel"/>
    <w:tmpl w:val="90605B0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77E163B"/>
    <w:multiLevelType w:val="hybridMultilevel"/>
    <w:tmpl w:val="8D44F86C"/>
    <w:lvl w:ilvl="0" w:tplc="080C0017">
      <w:start w:val="1"/>
      <w:numFmt w:val="lowerLetter"/>
      <w:lvlText w:val="%1)"/>
      <w:lvlJc w:val="left"/>
      <w:pPr>
        <w:ind w:left="78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8263ACF"/>
    <w:multiLevelType w:val="hybridMultilevel"/>
    <w:tmpl w:val="04E66AF2"/>
    <w:lvl w:ilvl="0" w:tplc="080C000F">
      <w:start w:val="3"/>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0EAF0360"/>
    <w:multiLevelType w:val="hybridMultilevel"/>
    <w:tmpl w:val="2E5CD0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37943"/>
    <w:multiLevelType w:val="hybridMultilevel"/>
    <w:tmpl w:val="11F89F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D50860"/>
    <w:multiLevelType w:val="hybridMultilevel"/>
    <w:tmpl w:val="93C446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39680B"/>
    <w:multiLevelType w:val="hybridMultilevel"/>
    <w:tmpl w:val="50BCB778"/>
    <w:lvl w:ilvl="0" w:tplc="F916874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675"/>
        </w:tabs>
        <w:ind w:left="675" w:hanging="360"/>
      </w:pPr>
      <w:rPr>
        <w:rFonts w:ascii="Courier New" w:hAnsi="Courier New" w:cs="Courier New" w:hint="default"/>
      </w:rPr>
    </w:lvl>
    <w:lvl w:ilvl="2" w:tplc="04130005" w:tentative="1">
      <w:start w:val="1"/>
      <w:numFmt w:val="bullet"/>
      <w:lvlText w:val=""/>
      <w:lvlJc w:val="left"/>
      <w:pPr>
        <w:tabs>
          <w:tab w:val="num" w:pos="1395"/>
        </w:tabs>
        <w:ind w:left="1395" w:hanging="360"/>
      </w:pPr>
      <w:rPr>
        <w:rFonts w:ascii="Wingdings" w:hAnsi="Wingdings" w:hint="default"/>
      </w:rPr>
    </w:lvl>
    <w:lvl w:ilvl="3" w:tplc="04130001" w:tentative="1">
      <w:start w:val="1"/>
      <w:numFmt w:val="bullet"/>
      <w:lvlText w:val=""/>
      <w:lvlJc w:val="left"/>
      <w:pPr>
        <w:tabs>
          <w:tab w:val="num" w:pos="2115"/>
        </w:tabs>
        <w:ind w:left="2115" w:hanging="360"/>
      </w:pPr>
      <w:rPr>
        <w:rFonts w:ascii="Symbol" w:hAnsi="Symbol" w:hint="default"/>
      </w:rPr>
    </w:lvl>
    <w:lvl w:ilvl="4" w:tplc="04130003" w:tentative="1">
      <w:start w:val="1"/>
      <w:numFmt w:val="bullet"/>
      <w:lvlText w:val="o"/>
      <w:lvlJc w:val="left"/>
      <w:pPr>
        <w:tabs>
          <w:tab w:val="num" w:pos="2835"/>
        </w:tabs>
        <w:ind w:left="2835" w:hanging="360"/>
      </w:pPr>
      <w:rPr>
        <w:rFonts w:ascii="Courier New" w:hAnsi="Courier New" w:cs="Courier New" w:hint="default"/>
      </w:rPr>
    </w:lvl>
    <w:lvl w:ilvl="5" w:tplc="04130005" w:tentative="1">
      <w:start w:val="1"/>
      <w:numFmt w:val="bullet"/>
      <w:lvlText w:val=""/>
      <w:lvlJc w:val="left"/>
      <w:pPr>
        <w:tabs>
          <w:tab w:val="num" w:pos="3555"/>
        </w:tabs>
        <w:ind w:left="3555" w:hanging="360"/>
      </w:pPr>
      <w:rPr>
        <w:rFonts w:ascii="Wingdings" w:hAnsi="Wingdings" w:hint="default"/>
      </w:rPr>
    </w:lvl>
    <w:lvl w:ilvl="6" w:tplc="04130001" w:tentative="1">
      <w:start w:val="1"/>
      <w:numFmt w:val="bullet"/>
      <w:lvlText w:val=""/>
      <w:lvlJc w:val="left"/>
      <w:pPr>
        <w:tabs>
          <w:tab w:val="num" w:pos="4275"/>
        </w:tabs>
        <w:ind w:left="4275" w:hanging="360"/>
      </w:pPr>
      <w:rPr>
        <w:rFonts w:ascii="Symbol" w:hAnsi="Symbol" w:hint="default"/>
      </w:rPr>
    </w:lvl>
    <w:lvl w:ilvl="7" w:tplc="04130003" w:tentative="1">
      <w:start w:val="1"/>
      <w:numFmt w:val="bullet"/>
      <w:lvlText w:val="o"/>
      <w:lvlJc w:val="left"/>
      <w:pPr>
        <w:tabs>
          <w:tab w:val="num" w:pos="4995"/>
        </w:tabs>
        <w:ind w:left="4995" w:hanging="360"/>
      </w:pPr>
      <w:rPr>
        <w:rFonts w:ascii="Courier New" w:hAnsi="Courier New" w:cs="Courier New" w:hint="default"/>
      </w:rPr>
    </w:lvl>
    <w:lvl w:ilvl="8" w:tplc="04130005" w:tentative="1">
      <w:start w:val="1"/>
      <w:numFmt w:val="bullet"/>
      <w:lvlText w:val=""/>
      <w:lvlJc w:val="left"/>
      <w:pPr>
        <w:tabs>
          <w:tab w:val="num" w:pos="5715"/>
        </w:tabs>
        <w:ind w:left="5715" w:hanging="360"/>
      </w:pPr>
      <w:rPr>
        <w:rFonts w:ascii="Wingdings" w:hAnsi="Wingdings" w:hint="default"/>
      </w:rPr>
    </w:lvl>
  </w:abstractNum>
  <w:abstractNum w:abstractNumId="10" w15:restartNumberingAfterBreak="0">
    <w:nsid w:val="23942FD6"/>
    <w:multiLevelType w:val="hybridMultilevel"/>
    <w:tmpl w:val="D0F4BA84"/>
    <w:lvl w:ilvl="0" w:tplc="4C32914A">
      <w:start w:val="1"/>
      <w:numFmt w:val="lowerLetter"/>
      <w:lvlText w:val="%1)"/>
      <w:lvlJc w:val="left"/>
      <w:pPr>
        <w:tabs>
          <w:tab w:val="num" w:pos="720"/>
        </w:tabs>
        <w:ind w:left="720" w:hanging="360"/>
      </w:pPr>
      <w:rPr>
        <w:rFonts w:hint="default"/>
      </w:rPr>
    </w:lvl>
    <w:lvl w:ilvl="1" w:tplc="04090011">
      <w:start w:val="1"/>
      <w:numFmt w:val="decimal"/>
      <w:lvlText w:val="%2)"/>
      <w:lvlJc w:val="left"/>
      <w:pPr>
        <w:tabs>
          <w:tab w:val="num" w:pos="840"/>
        </w:tabs>
        <w:ind w:left="840" w:hanging="360"/>
      </w:pPr>
      <w:rPr>
        <w:rFonts w:hint="default"/>
      </w:rPr>
    </w:lvl>
    <w:lvl w:ilvl="2" w:tplc="EB70B3C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0183C"/>
    <w:multiLevelType w:val="hybridMultilevel"/>
    <w:tmpl w:val="C48E298C"/>
    <w:lvl w:ilvl="0" w:tplc="B2B207E2">
      <w:start w:val="1"/>
      <w:numFmt w:val="lowerLetter"/>
      <w:lvlText w:val="%1)"/>
      <w:lvlJc w:val="left"/>
      <w:pPr>
        <w:ind w:left="121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15:restartNumberingAfterBreak="0">
    <w:nsid w:val="2FAF7F8B"/>
    <w:multiLevelType w:val="hybridMultilevel"/>
    <w:tmpl w:val="B93004C4"/>
    <w:lvl w:ilvl="0" w:tplc="4C32914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4908AE"/>
    <w:multiLevelType w:val="multilevel"/>
    <w:tmpl w:val="3BC6732A"/>
    <w:lvl w:ilvl="0">
      <w:start w:val="1"/>
      <w:numFmt w:val="decimal"/>
      <w:pStyle w:val="Kop1"/>
      <w:suff w:val="nothing"/>
      <w:lvlText w:val="%1"/>
      <w:lvlJc w:val="left"/>
      <w:pPr>
        <w:ind w:left="1152" w:hanging="432"/>
      </w:pPr>
      <w:rPr>
        <w:rFonts w:hint="default"/>
        <w:sz w:val="96"/>
        <w:szCs w:val="96"/>
      </w:rPr>
    </w:lvl>
    <w:lvl w:ilvl="1">
      <w:start w:val="1"/>
      <w:numFmt w:val="decimal"/>
      <w:pStyle w:val="Kop2"/>
      <w:lvlText w:val="%1.%2"/>
      <w:lvlJc w:val="left"/>
      <w:pPr>
        <w:tabs>
          <w:tab w:val="num" w:pos="1143"/>
        </w:tabs>
        <w:ind w:left="1143" w:hanging="576"/>
      </w:pPr>
      <w:rPr>
        <w:rFonts w:hint="default"/>
        <w:lang w:val="fr-BE"/>
      </w:rPr>
    </w:lvl>
    <w:lvl w:ilvl="2">
      <w:start w:val="1"/>
      <w:numFmt w:val="decimal"/>
      <w:lvlText w:val="%1.%2.%3"/>
      <w:lvlJc w:val="left"/>
      <w:pPr>
        <w:tabs>
          <w:tab w:val="num" w:pos="1440"/>
        </w:tabs>
        <w:ind w:left="1440" w:hanging="720"/>
      </w:pPr>
      <w:rPr>
        <w:rFonts w:hint="default"/>
      </w:rPr>
    </w:lvl>
    <w:lvl w:ilvl="3">
      <w:start w:val="1"/>
      <w:numFmt w:val="upperLetter"/>
      <w:pStyle w:val="Kop4"/>
      <w:suff w:val="space"/>
      <w:lvlText w:val="%4."/>
      <w:lvlJc w:val="left"/>
      <w:pPr>
        <w:ind w:left="864" w:hanging="864"/>
      </w:pPr>
      <w:rPr>
        <w:rFonts w:hint="default"/>
      </w:rPr>
    </w:lvl>
    <w:lvl w:ilvl="4">
      <w:start w:val="1"/>
      <w:numFmt w:val="none"/>
      <w:suff w:val="space"/>
      <w:lvlText w:val=""/>
      <w:lvlJc w:val="left"/>
      <w:pPr>
        <w:ind w:left="1728" w:hanging="1008"/>
      </w:pPr>
      <w:rPr>
        <w:rFonts w:hint="default"/>
      </w:rPr>
    </w:lvl>
    <w:lvl w:ilvl="5">
      <w:start w:val="1"/>
      <w:numFmt w:val="decimal"/>
      <w:pStyle w:val="Kop6"/>
      <w:lvlText w:val="%1.%2.%3.%4.%5.%6"/>
      <w:lvlJc w:val="left"/>
      <w:pPr>
        <w:tabs>
          <w:tab w:val="num" w:pos="1872"/>
        </w:tabs>
        <w:ind w:left="1872" w:hanging="1152"/>
      </w:pPr>
      <w:rPr>
        <w:rFonts w:hint="default"/>
      </w:rPr>
    </w:lvl>
    <w:lvl w:ilvl="6">
      <w:start w:val="1"/>
      <w:numFmt w:val="decimal"/>
      <w:pStyle w:val="Kop7"/>
      <w:lvlText w:val="%1.%2.%3.%4.%5.%6.%7"/>
      <w:lvlJc w:val="left"/>
      <w:pPr>
        <w:tabs>
          <w:tab w:val="num" w:pos="2016"/>
        </w:tabs>
        <w:ind w:left="2016" w:hanging="1296"/>
      </w:pPr>
      <w:rPr>
        <w:rFonts w:hint="default"/>
      </w:rPr>
    </w:lvl>
    <w:lvl w:ilvl="7">
      <w:start w:val="1"/>
      <w:numFmt w:val="decimal"/>
      <w:pStyle w:val="Kop8"/>
      <w:lvlText w:val="%1.%2.%3.%4.%5.%6.%7.%8"/>
      <w:lvlJc w:val="left"/>
      <w:pPr>
        <w:tabs>
          <w:tab w:val="num" w:pos="2160"/>
        </w:tabs>
        <w:ind w:left="2160" w:hanging="1440"/>
      </w:pPr>
      <w:rPr>
        <w:rFonts w:hint="default"/>
      </w:rPr>
    </w:lvl>
    <w:lvl w:ilvl="8">
      <w:start w:val="1"/>
      <w:numFmt w:val="decimal"/>
      <w:pStyle w:val="Kop9"/>
      <w:lvlText w:val="%1.%2.%3.%4.%5.%6.%7.%8.%9"/>
      <w:lvlJc w:val="left"/>
      <w:pPr>
        <w:tabs>
          <w:tab w:val="num" w:pos="2304"/>
        </w:tabs>
        <w:ind w:left="2304" w:hanging="1584"/>
      </w:pPr>
      <w:rPr>
        <w:rFonts w:hint="default"/>
      </w:rPr>
    </w:lvl>
  </w:abstractNum>
  <w:abstractNum w:abstractNumId="14" w15:restartNumberingAfterBreak="0">
    <w:nsid w:val="36406ACE"/>
    <w:multiLevelType w:val="hybridMultilevel"/>
    <w:tmpl w:val="2C200E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9A24CB1"/>
    <w:multiLevelType w:val="hybridMultilevel"/>
    <w:tmpl w:val="3200B736"/>
    <w:lvl w:ilvl="0" w:tplc="7F882C34">
      <w:start w:val="2"/>
      <w:numFmt w:val="bullet"/>
      <w:lvlText w:val="-"/>
      <w:lvlJc w:val="left"/>
      <w:pPr>
        <w:ind w:left="720" w:hanging="360"/>
      </w:pPr>
      <w:rPr>
        <w:rFonts w:ascii="EUAlbertina" w:eastAsia="Calibri" w:hAnsi="EUAlbertina" w:cs="EUAlbertin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9D4456D"/>
    <w:multiLevelType w:val="hybridMultilevel"/>
    <w:tmpl w:val="CF347816"/>
    <w:lvl w:ilvl="0" w:tplc="083427D0">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A8A0725"/>
    <w:multiLevelType w:val="hybridMultilevel"/>
    <w:tmpl w:val="D2C8F5AA"/>
    <w:lvl w:ilvl="0" w:tplc="3B241C3E">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F962A9A"/>
    <w:multiLevelType w:val="hybridMultilevel"/>
    <w:tmpl w:val="24A05AF4"/>
    <w:lvl w:ilvl="0" w:tplc="2688B35A">
      <w:start w:val="1"/>
      <w:numFmt w:val="lowerLetter"/>
      <w:lvlText w:val="(%1)"/>
      <w:lvlJc w:val="left"/>
      <w:pPr>
        <w:tabs>
          <w:tab w:val="num" w:pos="1095"/>
        </w:tabs>
        <w:ind w:left="1095" w:hanging="375"/>
      </w:pPr>
      <w:rPr>
        <w:rFonts w:hint="default"/>
      </w:rPr>
    </w:lvl>
    <w:lvl w:ilvl="1" w:tplc="0409001B" w:tentative="1">
      <w:start w:val="1"/>
      <w:numFmt w:val="lowerRoman"/>
      <w:lvlText w:val="%2."/>
      <w:lvlJc w:val="right"/>
      <w:pPr>
        <w:tabs>
          <w:tab w:val="num" w:pos="1620"/>
        </w:tabs>
        <w:ind w:left="1620" w:hanging="18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11038C1"/>
    <w:multiLevelType w:val="hybridMultilevel"/>
    <w:tmpl w:val="88886AE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1E93AD9"/>
    <w:multiLevelType w:val="hybridMultilevel"/>
    <w:tmpl w:val="F24A932E"/>
    <w:lvl w:ilvl="0" w:tplc="4C32914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7E5AB3"/>
    <w:multiLevelType w:val="hybridMultilevel"/>
    <w:tmpl w:val="D334098A"/>
    <w:lvl w:ilvl="0" w:tplc="0413000F">
      <w:start w:val="1"/>
      <w:numFmt w:val="decimal"/>
      <w:lvlText w:val="%1."/>
      <w:lvlJc w:val="left"/>
      <w:pPr>
        <w:tabs>
          <w:tab w:val="num" w:pos="360"/>
        </w:tabs>
        <w:ind w:left="360" w:hanging="360"/>
      </w:pPr>
    </w:lvl>
    <w:lvl w:ilvl="1" w:tplc="30BA9C0E">
      <w:numFmt w:val="bullet"/>
      <w:pStyle w:val="tabelopsom-1"/>
      <w:lvlText w:val="-"/>
      <w:lvlJc w:val="left"/>
      <w:pPr>
        <w:tabs>
          <w:tab w:val="num" w:pos="1080"/>
        </w:tabs>
        <w:ind w:left="1080" w:hanging="360"/>
      </w:pPr>
      <w:rPr>
        <w:rFonts w:ascii="Verdana" w:eastAsia="ITC Bookman Light" w:hAnsi="Verdana" w:cs="Verdana"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486C0993"/>
    <w:multiLevelType w:val="hybridMultilevel"/>
    <w:tmpl w:val="018A61EE"/>
    <w:lvl w:ilvl="0" w:tplc="4C32914A">
      <w:start w:val="1"/>
      <w:numFmt w:val="lowerLetter"/>
      <w:lvlText w:val="%1)"/>
      <w:lvlJc w:val="left"/>
      <w:pPr>
        <w:tabs>
          <w:tab w:val="num" w:pos="501"/>
        </w:tabs>
        <w:ind w:left="501" w:hanging="360"/>
      </w:pPr>
      <w:rPr>
        <w:rFonts w:hint="default"/>
      </w:rPr>
    </w:lvl>
    <w:lvl w:ilvl="1" w:tplc="6E2CF522">
      <w:start w:val="1"/>
      <w:numFmt w:val="decimal"/>
      <w:lvlText w:val="%2."/>
      <w:lvlJc w:val="left"/>
      <w:pPr>
        <w:tabs>
          <w:tab w:val="num" w:pos="1068"/>
        </w:tabs>
        <w:ind w:left="1068" w:hanging="360"/>
      </w:pPr>
      <w:rPr>
        <w:rFonts w:hint="default"/>
      </w:rPr>
    </w:lvl>
    <w:lvl w:ilvl="2" w:tplc="4C32914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EF4A08"/>
    <w:multiLevelType w:val="hybridMultilevel"/>
    <w:tmpl w:val="E7A8DE4E"/>
    <w:lvl w:ilvl="0" w:tplc="46F47BE0">
      <w:start w:val="1"/>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9144557"/>
    <w:multiLevelType w:val="hybridMultilevel"/>
    <w:tmpl w:val="2BB2D70E"/>
    <w:lvl w:ilvl="0" w:tplc="35BE4220">
      <w:start w:val="1"/>
      <w:numFmt w:val="lowerLetter"/>
      <w:lvlText w:val="%1)"/>
      <w:lvlJc w:val="left"/>
      <w:pPr>
        <w:ind w:left="1352"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25" w15:restartNumberingAfterBreak="0">
    <w:nsid w:val="49BA2F91"/>
    <w:multiLevelType w:val="hybridMultilevel"/>
    <w:tmpl w:val="B53C3BD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3B04B79"/>
    <w:multiLevelType w:val="hybridMultilevel"/>
    <w:tmpl w:val="435A4AD6"/>
    <w:lvl w:ilvl="0" w:tplc="F9168748">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A751B9"/>
    <w:multiLevelType w:val="hybridMultilevel"/>
    <w:tmpl w:val="575AB3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151F91"/>
    <w:multiLevelType w:val="hybridMultilevel"/>
    <w:tmpl w:val="5FE06B64"/>
    <w:lvl w:ilvl="0" w:tplc="20F85264">
      <w:start w:val="3"/>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7BA39C2"/>
    <w:multiLevelType w:val="hybridMultilevel"/>
    <w:tmpl w:val="B7D603E0"/>
    <w:lvl w:ilvl="0" w:tplc="04090011">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0" w15:restartNumberingAfterBreak="0">
    <w:nsid w:val="605B4605"/>
    <w:multiLevelType w:val="hybridMultilevel"/>
    <w:tmpl w:val="05F86D28"/>
    <w:lvl w:ilvl="0" w:tplc="3A5E738E">
      <w:start w:val="1"/>
      <w:numFmt w:val="lowerLetter"/>
      <w:lvlText w:val="%1)"/>
      <w:lvlJc w:val="left"/>
      <w:pPr>
        <w:ind w:left="720" w:hanging="360"/>
      </w:pPr>
      <w:rPr>
        <w:rFonts w:ascii="Times New Roman" w:eastAsia="Calibri" w:hAnsi="Times New Roman"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2286CEF"/>
    <w:multiLevelType w:val="hybridMultilevel"/>
    <w:tmpl w:val="E206941A"/>
    <w:lvl w:ilvl="0" w:tplc="4C32914A">
      <w:start w:val="1"/>
      <w:numFmt w:val="lowerLetter"/>
      <w:lvlText w:val="%1)"/>
      <w:lvlJc w:val="left"/>
      <w:pPr>
        <w:tabs>
          <w:tab w:val="num" w:pos="720"/>
        </w:tabs>
        <w:ind w:left="720" w:hanging="360"/>
      </w:pPr>
      <w:rPr>
        <w:rFonts w:hint="default"/>
      </w:rPr>
    </w:lvl>
    <w:lvl w:ilvl="1" w:tplc="943415A6">
      <w:start w:val="1"/>
      <w:numFmt w:val="lowerLetter"/>
      <w:lvlText w:val="(%2)"/>
      <w:lvlJc w:val="left"/>
      <w:pPr>
        <w:tabs>
          <w:tab w:val="num" w:pos="1455"/>
        </w:tabs>
        <w:ind w:left="1455" w:hanging="375"/>
      </w:pPr>
      <w:rPr>
        <w:rFonts w:hint="default"/>
      </w:rPr>
    </w:lvl>
    <w:lvl w:ilvl="2" w:tplc="04090011">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393542"/>
    <w:multiLevelType w:val="hybridMultilevel"/>
    <w:tmpl w:val="7C00775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5D72796"/>
    <w:multiLevelType w:val="hybridMultilevel"/>
    <w:tmpl w:val="42E23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D5DC3"/>
    <w:multiLevelType w:val="hybridMultilevel"/>
    <w:tmpl w:val="9FFE820E"/>
    <w:lvl w:ilvl="0" w:tplc="4C32914A">
      <w:start w:val="1"/>
      <w:numFmt w:val="lowerLetter"/>
      <w:lvlText w:val="%1)"/>
      <w:lvlJc w:val="left"/>
      <w:pPr>
        <w:tabs>
          <w:tab w:val="num" w:pos="2700"/>
        </w:tabs>
        <w:ind w:left="2700" w:hanging="360"/>
      </w:pPr>
      <w:rPr>
        <w:rFonts w:hint="default"/>
      </w:rPr>
    </w:lvl>
    <w:lvl w:ilvl="1" w:tplc="040C0019">
      <w:start w:val="1"/>
      <w:numFmt w:val="lowerLetter"/>
      <w:lvlText w:val="%2."/>
      <w:lvlJc w:val="left"/>
      <w:pPr>
        <w:tabs>
          <w:tab w:val="num" w:pos="3420"/>
        </w:tabs>
        <w:ind w:left="3420" w:hanging="360"/>
      </w:pPr>
    </w:lvl>
    <w:lvl w:ilvl="2" w:tplc="040C001B">
      <w:start w:val="1"/>
      <w:numFmt w:val="lowerRoman"/>
      <w:lvlText w:val="%3."/>
      <w:lvlJc w:val="right"/>
      <w:pPr>
        <w:tabs>
          <w:tab w:val="num" w:pos="4140"/>
        </w:tabs>
        <w:ind w:left="4140" w:hanging="180"/>
      </w:pPr>
    </w:lvl>
    <w:lvl w:ilvl="3" w:tplc="040C000F" w:tentative="1">
      <w:start w:val="1"/>
      <w:numFmt w:val="decimal"/>
      <w:lvlText w:val="%4."/>
      <w:lvlJc w:val="left"/>
      <w:pPr>
        <w:tabs>
          <w:tab w:val="num" w:pos="4860"/>
        </w:tabs>
        <w:ind w:left="4860" w:hanging="360"/>
      </w:pPr>
    </w:lvl>
    <w:lvl w:ilvl="4" w:tplc="040C0019" w:tentative="1">
      <w:start w:val="1"/>
      <w:numFmt w:val="lowerLetter"/>
      <w:lvlText w:val="%5."/>
      <w:lvlJc w:val="left"/>
      <w:pPr>
        <w:tabs>
          <w:tab w:val="num" w:pos="5580"/>
        </w:tabs>
        <w:ind w:left="5580" w:hanging="360"/>
      </w:pPr>
    </w:lvl>
    <w:lvl w:ilvl="5" w:tplc="040C001B" w:tentative="1">
      <w:start w:val="1"/>
      <w:numFmt w:val="lowerRoman"/>
      <w:lvlText w:val="%6."/>
      <w:lvlJc w:val="right"/>
      <w:pPr>
        <w:tabs>
          <w:tab w:val="num" w:pos="6300"/>
        </w:tabs>
        <w:ind w:left="6300" w:hanging="180"/>
      </w:pPr>
    </w:lvl>
    <w:lvl w:ilvl="6" w:tplc="040C000F" w:tentative="1">
      <w:start w:val="1"/>
      <w:numFmt w:val="decimal"/>
      <w:lvlText w:val="%7."/>
      <w:lvlJc w:val="left"/>
      <w:pPr>
        <w:tabs>
          <w:tab w:val="num" w:pos="7020"/>
        </w:tabs>
        <w:ind w:left="7020" w:hanging="360"/>
      </w:pPr>
    </w:lvl>
    <w:lvl w:ilvl="7" w:tplc="040C0019" w:tentative="1">
      <w:start w:val="1"/>
      <w:numFmt w:val="lowerLetter"/>
      <w:lvlText w:val="%8."/>
      <w:lvlJc w:val="left"/>
      <w:pPr>
        <w:tabs>
          <w:tab w:val="num" w:pos="7740"/>
        </w:tabs>
        <w:ind w:left="7740" w:hanging="360"/>
      </w:pPr>
    </w:lvl>
    <w:lvl w:ilvl="8" w:tplc="040C001B" w:tentative="1">
      <w:start w:val="1"/>
      <w:numFmt w:val="lowerRoman"/>
      <w:lvlText w:val="%9."/>
      <w:lvlJc w:val="right"/>
      <w:pPr>
        <w:tabs>
          <w:tab w:val="num" w:pos="8460"/>
        </w:tabs>
        <w:ind w:left="8460" w:hanging="180"/>
      </w:pPr>
    </w:lvl>
  </w:abstractNum>
  <w:abstractNum w:abstractNumId="35" w15:restartNumberingAfterBreak="0">
    <w:nsid w:val="6F7779C6"/>
    <w:multiLevelType w:val="hybridMultilevel"/>
    <w:tmpl w:val="DE0E665A"/>
    <w:lvl w:ilvl="0" w:tplc="03CC00DA">
      <w:start w:val="1"/>
      <w:numFmt w:val="decimal"/>
      <w:pStyle w:val="tabelpuntverdana"/>
      <w:lvlText w:val="%1."/>
      <w:lvlJc w:val="left"/>
      <w:pPr>
        <w:tabs>
          <w:tab w:val="num" w:pos="360"/>
        </w:tabs>
        <w:ind w:left="360" w:hanging="360"/>
      </w:pPr>
    </w:lvl>
    <w:lvl w:ilvl="1" w:tplc="040C0005">
      <w:start w:val="1"/>
      <w:numFmt w:val="bullet"/>
      <w:lvlText w:val=""/>
      <w:lvlJc w:val="left"/>
      <w:pPr>
        <w:tabs>
          <w:tab w:val="num" w:pos="1080"/>
        </w:tabs>
        <w:ind w:left="1080" w:hanging="360"/>
      </w:pPr>
      <w:rPr>
        <w:rFonts w:ascii="Wingdings" w:hAnsi="Wingding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15:restartNumberingAfterBreak="0">
    <w:nsid w:val="783D1B19"/>
    <w:multiLevelType w:val="hybridMultilevel"/>
    <w:tmpl w:val="85046F1E"/>
    <w:lvl w:ilvl="0" w:tplc="3BE4EF24">
      <w:numFmt w:val="bullet"/>
      <w:lvlText w:val="-"/>
      <w:lvlJc w:val="left"/>
      <w:pPr>
        <w:tabs>
          <w:tab w:val="num" w:pos="720"/>
        </w:tabs>
        <w:ind w:left="720" w:hanging="360"/>
      </w:pPr>
      <w:rPr>
        <w:rFonts w:ascii="Verdana" w:eastAsia="ITC Bookman Light" w:hAnsi="Verdana" w:cs="Verdan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D25AB7"/>
    <w:multiLevelType w:val="hybridMultilevel"/>
    <w:tmpl w:val="C01471B8"/>
    <w:lvl w:ilvl="0" w:tplc="4C32914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663E99"/>
    <w:multiLevelType w:val="hybridMultilevel"/>
    <w:tmpl w:val="C174F2A0"/>
    <w:lvl w:ilvl="0" w:tplc="5B0E9C4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9" w15:restartNumberingAfterBreak="0">
    <w:nsid w:val="7B827A58"/>
    <w:multiLevelType w:val="hybridMultilevel"/>
    <w:tmpl w:val="691854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D63238F"/>
    <w:multiLevelType w:val="hybridMultilevel"/>
    <w:tmpl w:val="25BAAA8C"/>
    <w:lvl w:ilvl="0" w:tplc="388CAECC">
      <w:start w:val="18"/>
      <w:numFmt w:val="decimal"/>
      <w:lvlText w:val="%1."/>
      <w:lvlJc w:val="left"/>
      <w:pPr>
        <w:tabs>
          <w:tab w:val="num" w:pos="-1"/>
        </w:tabs>
        <w:ind w:left="397" w:hanging="397"/>
      </w:pPr>
      <w:rPr>
        <w:rFonts w:hint="default"/>
      </w:rPr>
    </w:lvl>
    <w:lvl w:ilvl="1" w:tplc="3BE4EF24">
      <w:numFmt w:val="bullet"/>
      <w:lvlText w:val="-"/>
      <w:lvlJc w:val="left"/>
      <w:pPr>
        <w:tabs>
          <w:tab w:val="num" w:pos="1440"/>
        </w:tabs>
        <w:ind w:left="1440" w:hanging="360"/>
      </w:pPr>
      <w:rPr>
        <w:rFonts w:ascii="Verdana" w:eastAsia="ITC Bookman Light" w:hAnsi="Verdana" w:cs="Verdana" w:hint="default"/>
      </w:rPr>
    </w:lvl>
    <w:lvl w:ilvl="2" w:tplc="2ECEF48A">
      <w:numFmt w:val="bullet"/>
      <w:lvlText w:val="-"/>
      <w:lvlJc w:val="left"/>
      <w:pPr>
        <w:tabs>
          <w:tab w:val="num" w:pos="2340"/>
        </w:tabs>
        <w:ind w:left="2340" w:hanging="360"/>
      </w:pPr>
      <w:rPr>
        <w:rFonts w:ascii="Times New Roman" w:eastAsia="Times New Roman" w:hAnsi="Times New Roman" w:cs="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1"/>
  </w:num>
  <w:num w:numId="2">
    <w:abstractNumId w:val="18"/>
  </w:num>
  <w:num w:numId="3">
    <w:abstractNumId w:val="10"/>
  </w:num>
  <w:num w:numId="4">
    <w:abstractNumId w:val="29"/>
  </w:num>
  <w:num w:numId="5">
    <w:abstractNumId w:val="22"/>
  </w:num>
  <w:num w:numId="6">
    <w:abstractNumId w:val="0"/>
  </w:num>
  <w:num w:numId="7">
    <w:abstractNumId w:val="35"/>
  </w:num>
  <w:num w:numId="8">
    <w:abstractNumId w:val="40"/>
  </w:num>
  <w:num w:numId="9">
    <w:abstractNumId w:val="21"/>
  </w:num>
  <w:num w:numId="10">
    <w:abstractNumId w:val="1"/>
  </w:num>
  <w:num w:numId="11">
    <w:abstractNumId w:val="36"/>
  </w:num>
  <w:num w:numId="12">
    <w:abstractNumId w:val="9"/>
  </w:num>
  <w:num w:numId="13">
    <w:abstractNumId w:val="26"/>
  </w:num>
  <w:num w:numId="14">
    <w:abstractNumId w:val="13"/>
  </w:num>
  <w:num w:numId="15">
    <w:abstractNumId w:val="34"/>
  </w:num>
  <w:num w:numId="16">
    <w:abstractNumId w:val="39"/>
  </w:num>
  <w:num w:numId="17">
    <w:abstractNumId w:val="15"/>
  </w:num>
  <w:num w:numId="18">
    <w:abstractNumId w:val="11"/>
  </w:num>
  <w:num w:numId="19">
    <w:abstractNumId w:val="5"/>
  </w:num>
  <w:num w:numId="20">
    <w:abstractNumId w:val="13"/>
    <w:lvlOverride w:ilvl="0"/>
    <w:lvlOverride w:ilvl="1"/>
    <w:lvlOverride w:ilvl="2"/>
    <w:lvlOverride w:ilvl="3"/>
    <w:lvlOverride w:ilvl="4"/>
    <w:lvlOverride w:ilvl="5"/>
    <w:lvlOverride w:ilvl="6"/>
    <w:lvlOverride w:ilvl="7"/>
    <w:lvlOverride w:ilvl="8"/>
  </w:num>
  <w:num w:numId="21">
    <w:abstractNumId w:val="24"/>
  </w:num>
  <w:num w:numId="22">
    <w:abstractNumId w:val="38"/>
  </w:num>
  <w:num w:numId="23">
    <w:abstractNumId w:val="4"/>
  </w:num>
  <w:num w:numId="24">
    <w:abstractNumId w:val="28"/>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lvlOverride w:ilvl="2"/>
    <w:lvlOverride w:ilvl="3"/>
    <w:lvlOverride w:ilvl="4"/>
    <w:lvlOverride w:ilvl="5"/>
    <w:lvlOverride w:ilvl="6"/>
    <w:lvlOverride w:ilvl="7"/>
    <w:lvlOverride w:ilvl="8"/>
  </w:num>
  <w:num w:numId="29">
    <w:abstractNumId w:val="17"/>
  </w:num>
  <w:num w:numId="30">
    <w:abstractNumId w:val="13"/>
  </w:num>
  <w:num w:numId="31">
    <w:abstractNumId w:val="16"/>
  </w:num>
  <w:num w:numId="32">
    <w:abstractNumId w:val="33"/>
  </w:num>
  <w:num w:numId="33">
    <w:abstractNumId w:val="2"/>
  </w:num>
  <w:num w:numId="34">
    <w:abstractNumId w:val="23"/>
  </w:num>
  <w:num w:numId="35">
    <w:abstractNumId w:val="3"/>
  </w:num>
  <w:num w:numId="36">
    <w:abstractNumId w:val="25"/>
  </w:num>
  <w:num w:numId="37">
    <w:abstractNumId w:val="32"/>
  </w:num>
  <w:num w:numId="38">
    <w:abstractNumId w:val="8"/>
  </w:num>
  <w:num w:numId="39">
    <w:abstractNumId w:val="7"/>
  </w:num>
  <w:num w:numId="40">
    <w:abstractNumId w:val="27"/>
  </w:num>
  <w:num w:numId="41">
    <w:abstractNumId w:val="30"/>
  </w:num>
  <w:num w:numId="42">
    <w:abstractNumId w:val="19"/>
  </w:num>
  <w:num w:numId="4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490F"/>
    <w:rsid w:val="00001EC2"/>
    <w:rsid w:val="0000377F"/>
    <w:rsid w:val="00015031"/>
    <w:rsid w:val="000173F1"/>
    <w:rsid w:val="00021100"/>
    <w:rsid w:val="0002169E"/>
    <w:rsid w:val="00021D3F"/>
    <w:rsid w:val="00027BE1"/>
    <w:rsid w:val="00027D48"/>
    <w:rsid w:val="00034E00"/>
    <w:rsid w:val="00041BCE"/>
    <w:rsid w:val="00044A77"/>
    <w:rsid w:val="00047807"/>
    <w:rsid w:val="0005307A"/>
    <w:rsid w:val="00055E88"/>
    <w:rsid w:val="00060D0D"/>
    <w:rsid w:val="0006144D"/>
    <w:rsid w:val="00061FC8"/>
    <w:rsid w:val="000663D1"/>
    <w:rsid w:val="00070471"/>
    <w:rsid w:val="0007113C"/>
    <w:rsid w:val="0007525E"/>
    <w:rsid w:val="0008279D"/>
    <w:rsid w:val="000834ED"/>
    <w:rsid w:val="000845E4"/>
    <w:rsid w:val="00092495"/>
    <w:rsid w:val="000927CF"/>
    <w:rsid w:val="0009384A"/>
    <w:rsid w:val="000976B5"/>
    <w:rsid w:val="000976F5"/>
    <w:rsid w:val="000979AA"/>
    <w:rsid w:val="000A000B"/>
    <w:rsid w:val="000A0389"/>
    <w:rsid w:val="000A28BA"/>
    <w:rsid w:val="000B255E"/>
    <w:rsid w:val="000C0962"/>
    <w:rsid w:val="000C23F2"/>
    <w:rsid w:val="000D1D31"/>
    <w:rsid w:val="000D1E8B"/>
    <w:rsid w:val="000D2326"/>
    <w:rsid w:val="000E0372"/>
    <w:rsid w:val="000E45B8"/>
    <w:rsid w:val="000E5A5F"/>
    <w:rsid w:val="000F0DFF"/>
    <w:rsid w:val="000F1004"/>
    <w:rsid w:val="000F4D76"/>
    <w:rsid w:val="000F6931"/>
    <w:rsid w:val="000F7108"/>
    <w:rsid w:val="001033FC"/>
    <w:rsid w:val="001045E6"/>
    <w:rsid w:val="00104C12"/>
    <w:rsid w:val="001202CD"/>
    <w:rsid w:val="001203EC"/>
    <w:rsid w:val="001248BB"/>
    <w:rsid w:val="00134C24"/>
    <w:rsid w:val="00135C7C"/>
    <w:rsid w:val="00145D01"/>
    <w:rsid w:val="0014688B"/>
    <w:rsid w:val="00147AD5"/>
    <w:rsid w:val="00155802"/>
    <w:rsid w:val="001577CB"/>
    <w:rsid w:val="00164555"/>
    <w:rsid w:val="00167CEE"/>
    <w:rsid w:val="00175E0D"/>
    <w:rsid w:val="00176205"/>
    <w:rsid w:val="0017642B"/>
    <w:rsid w:val="00184E76"/>
    <w:rsid w:val="00187209"/>
    <w:rsid w:val="00193A91"/>
    <w:rsid w:val="001A09FF"/>
    <w:rsid w:val="001A189F"/>
    <w:rsid w:val="001A6DF9"/>
    <w:rsid w:val="001B2F0B"/>
    <w:rsid w:val="001B406D"/>
    <w:rsid w:val="001B44D3"/>
    <w:rsid w:val="001B6DF5"/>
    <w:rsid w:val="001B7809"/>
    <w:rsid w:val="001C59AF"/>
    <w:rsid w:val="001C6CF5"/>
    <w:rsid w:val="001C7AAA"/>
    <w:rsid w:val="001D1C00"/>
    <w:rsid w:val="001D3C85"/>
    <w:rsid w:val="001D61D8"/>
    <w:rsid w:val="001D7609"/>
    <w:rsid w:val="001E3628"/>
    <w:rsid w:val="001E66A1"/>
    <w:rsid w:val="001E6AA1"/>
    <w:rsid w:val="001E74A1"/>
    <w:rsid w:val="001F1361"/>
    <w:rsid w:val="00201E1C"/>
    <w:rsid w:val="00203817"/>
    <w:rsid w:val="0020591E"/>
    <w:rsid w:val="002241A6"/>
    <w:rsid w:val="00225CC8"/>
    <w:rsid w:val="00227E6F"/>
    <w:rsid w:val="0023004C"/>
    <w:rsid w:val="00230843"/>
    <w:rsid w:val="002313A5"/>
    <w:rsid w:val="002370C9"/>
    <w:rsid w:val="002372DC"/>
    <w:rsid w:val="00240695"/>
    <w:rsid w:val="0024672F"/>
    <w:rsid w:val="00247DAF"/>
    <w:rsid w:val="00252004"/>
    <w:rsid w:val="00252427"/>
    <w:rsid w:val="002569AC"/>
    <w:rsid w:val="002572DC"/>
    <w:rsid w:val="00266107"/>
    <w:rsid w:val="00271081"/>
    <w:rsid w:val="00272246"/>
    <w:rsid w:val="002733C0"/>
    <w:rsid w:val="002776A1"/>
    <w:rsid w:val="00281E87"/>
    <w:rsid w:val="00293CD5"/>
    <w:rsid w:val="00294E72"/>
    <w:rsid w:val="00295B0B"/>
    <w:rsid w:val="002A0B7B"/>
    <w:rsid w:val="002A58EB"/>
    <w:rsid w:val="002A6E0B"/>
    <w:rsid w:val="002B209D"/>
    <w:rsid w:val="002B2257"/>
    <w:rsid w:val="002B2998"/>
    <w:rsid w:val="002B677C"/>
    <w:rsid w:val="002C1C25"/>
    <w:rsid w:val="002C2A06"/>
    <w:rsid w:val="002D1C1B"/>
    <w:rsid w:val="002D286F"/>
    <w:rsid w:val="002D5898"/>
    <w:rsid w:val="002D5B11"/>
    <w:rsid w:val="002D66CF"/>
    <w:rsid w:val="002E49AE"/>
    <w:rsid w:val="002E6F09"/>
    <w:rsid w:val="002F1679"/>
    <w:rsid w:val="002F440D"/>
    <w:rsid w:val="002F60BA"/>
    <w:rsid w:val="002F75D7"/>
    <w:rsid w:val="0030089A"/>
    <w:rsid w:val="00301AE7"/>
    <w:rsid w:val="00301C07"/>
    <w:rsid w:val="003034DF"/>
    <w:rsid w:val="003041C8"/>
    <w:rsid w:val="003060F9"/>
    <w:rsid w:val="003066BF"/>
    <w:rsid w:val="00310DF6"/>
    <w:rsid w:val="00310E01"/>
    <w:rsid w:val="003148C1"/>
    <w:rsid w:val="003210D8"/>
    <w:rsid w:val="00323445"/>
    <w:rsid w:val="00323AB1"/>
    <w:rsid w:val="003263BB"/>
    <w:rsid w:val="00327DA3"/>
    <w:rsid w:val="00333427"/>
    <w:rsid w:val="00334451"/>
    <w:rsid w:val="00342429"/>
    <w:rsid w:val="00342949"/>
    <w:rsid w:val="00346137"/>
    <w:rsid w:val="003471F2"/>
    <w:rsid w:val="00350E23"/>
    <w:rsid w:val="003525E1"/>
    <w:rsid w:val="00353ED9"/>
    <w:rsid w:val="00355D77"/>
    <w:rsid w:val="003569A5"/>
    <w:rsid w:val="00362400"/>
    <w:rsid w:val="00370F63"/>
    <w:rsid w:val="003719E9"/>
    <w:rsid w:val="0037667F"/>
    <w:rsid w:val="0037709D"/>
    <w:rsid w:val="00381B14"/>
    <w:rsid w:val="00382483"/>
    <w:rsid w:val="00383A7C"/>
    <w:rsid w:val="00384E26"/>
    <w:rsid w:val="00384ECA"/>
    <w:rsid w:val="00386B5E"/>
    <w:rsid w:val="00387A78"/>
    <w:rsid w:val="003924D6"/>
    <w:rsid w:val="00393881"/>
    <w:rsid w:val="00394B18"/>
    <w:rsid w:val="00394CED"/>
    <w:rsid w:val="0039584F"/>
    <w:rsid w:val="00396C38"/>
    <w:rsid w:val="003A1335"/>
    <w:rsid w:val="003A29FF"/>
    <w:rsid w:val="003A4C1A"/>
    <w:rsid w:val="003A5451"/>
    <w:rsid w:val="003B07BC"/>
    <w:rsid w:val="003B26D2"/>
    <w:rsid w:val="003B59B8"/>
    <w:rsid w:val="003B6D18"/>
    <w:rsid w:val="003C32EA"/>
    <w:rsid w:val="003D7062"/>
    <w:rsid w:val="003E2FA9"/>
    <w:rsid w:val="003E4F8F"/>
    <w:rsid w:val="003E67FB"/>
    <w:rsid w:val="003F0373"/>
    <w:rsid w:val="003F64F1"/>
    <w:rsid w:val="00400B9E"/>
    <w:rsid w:val="0040105E"/>
    <w:rsid w:val="00403D83"/>
    <w:rsid w:val="004054DC"/>
    <w:rsid w:val="00412859"/>
    <w:rsid w:val="004233A2"/>
    <w:rsid w:val="00426A0B"/>
    <w:rsid w:val="00430CD9"/>
    <w:rsid w:val="00435792"/>
    <w:rsid w:val="00437273"/>
    <w:rsid w:val="00437EEE"/>
    <w:rsid w:val="00443CFE"/>
    <w:rsid w:val="00443ED7"/>
    <w:rsid w:val="004462C8"/>
    <w:rsid w:val="00450D03"/>
    <w:rsid w:val="0045315B"/>
    <w:rsid w:val="004556CF"/>
    <w:rsid w:val="0045766B"/>
    <w:rsid w:val="0046101D"/>
    <w:rsid w:val="00463EA5"/>
    <w:rsid w:val="00467B0F"/>
    <w:rsid w:val="00474C41"/>
    <w:rsid w:val="004766B6"/>
    <w:rsid w:val="00477BD5"/>
    <w:rsid w:val="00481FC6"/>
    <w:rsid w:val="00484718"/>
    <w:rsid w:val="00485DEF"/>
    <w:rsid w:val="00490CC6"/>
    <w:rsid w:val="00490F1C"/>
    <w:rsid w:val="00491931"/>
    <w:rsid w:val="00491A7F"/>
    <w:rsid w:val="004A1D99"/>
    <w:rsid w:val="004A57F7"/>
    <w:rsid w:val="004B1748"/>
    <w:rsid w:val="004B3233"/>
    <w:rsid w:val="004B40E4"/>
    <w:rsid w:val="004B63B3"/>
    <w:rsid w:val="004B7E87"/>
    <w:rsid w:val="004C12EB"/>
    <w:rsid w:val="004C374C"/>
    <w:rsid w:val="004C78E4"/>
    <w:rsid w:val="004D1D65"/>
    <w:rsid w:val="004D2D69"/>
    <w:rsid w:val="004D39E7"/>
    <w:rsid w:val="004D5FDF"/>
    <w:rsid w:val="004D6899"/>
    <w:rsid w:val="004E5DF3"/>
    <w:rsid w:val="004E6A1E"/>
    <w:rsid w:val="004E75F5"/>
    <w:rsid w:val="004F1272"/>
    <w:rsid w:val="004F3C51"/>
    <w:rsid w:val="005023BE"/>
    <w:rsid w:val="005106E8"/>
    <w:rsid w:val="00510E8A"/>
    <w:rsid w:val="00513507"/>
    <w:rsid w:val="00514ADC"/>
    <w:rsid w:val="00516CB6"/>
    <w:rsid w:val="005219A1"/>
    <w:rsid w:val="00522B91"/>
    <w:rsid w:val="005239F8"/>
    <w:rsid w:val="0052674B"/>
    <w:rsid w:val="00530459"/>
    <w:rsid w:val="00535673"/>
    <w:rsid w:val="0053644D"/>
    <w:rsid w:val="0054217E"/>
    <w:rsid w:val="00544547"/>
    <w:rsid w:val="005533E1"/>
    <w:rsid w:val="00554A38"/>
    <w:rsid w:val="0055786B"/>
    <w:rsid w:val="005651C2"/>
    <w:rsid w:val="00567A96"/>
    <w:rsid w:val="00570580"/>
    <w:rsid w:val="00571359"/>
    <w:rsid w:val="005749E8"/>
    <w:rsid w:val="00574A53"/>
    <w:rsid w:val="00575888"/>
    <w:rsid w:val="00576491"/>
    <w:rsid w:val="00577EF5"/>
    <w:rsid w:val="00586167"/>
    <w:rsid w:val="0058667C"/>
    <w:rsid w:val="005873A2"/>
    <w:rsid w:val="0058770F"/>
    <w:rsid w:val="00590245"/>
    <w:rsid w:val="00590A17"/>
    <w:rsid w:val="00590F0F"/>
    <w:rsid w:val="0059517F"/>
    <w:rsid w:val="00595543"/>
    <w:rsid w:val="005A2144"/>
    <w:rsid w:val="005A2B12"/>
    <w:rsid w:val="005A5834"/>
    <w:rsid w:val="005A5F2B"/>
    <w:rsid w:val="005B016A"/>
    <w:rsid w:val="005B1245"/>
    <w:rsid w:val="005B6790"/>
    <w:rsid w:val="005C1D20"/>
    <w:rsid w:val="005C2806"/>
    <w:rsid w:val="005C3630"/>
    <w:rsid w:val="005D1963"/>
    <w:rsid w:val="005D58D6"/>
    <w:rsid w:val="005E2D85"/>
    <w:rsid w:val="005E6C7D"/>
    <w:rsid w:val="005F0EB8"/>
    <w:rsid w:val="005F35D9"/>
    <w:rsid w:val="005F7D77"/>
    <w:rsid w:val="0061487A"/>
    <w:rsid w:val="00616241"/>
    <w:rsid w:val="00616BA5"/>
    <w:rsid w:val="006312E3"/>
    <w:rsid w:val="00635A46"/>
    <w:rsid w:val="00636DDD"/>
    <w:rsid w:val="006434A6"/>
    <w:rsid w:val="00646B4D"/>
    <w:rsid w:val="0065516D"/>
    <w:rsid w:val="0065621F"/>
    <w:rsid w:val="006603FD"/>
    <w:rsid w:val="00660512"/>
    <w:rsid w:val="00662E87"/>
    <w:rsid w:val="00664513"/>
    <w:rsid w:val="006646E1"/>
    <w:rsid w:val="0066727B"/>
    <w:rsid w:val="00667766"/>
    <w:rsid w:val="00672CBF"/>
    <w:rsid w:val="00672F67"/>
    <w:rsid w:val="00674C01"/>
    <w:rsid w:val="00675ED8"/>
    <w:rsid w:val="00680FF2"/>
    <w:rsid w:val="00681753"/>
    <w:rsid w:val="00681F95"/>
    <w:rsid w:val="00684D41"/>
    <w:rsid w:val="00685440"/>
    <w:rsid w:val="006867BE"/>
    <w:rsid w:val="006963BB"/>
    <w:rsid w:val="006A2E1E"/>
    <w:rsid w:val="006A4211"/>
    <w:rsid w:val="006A5A1C"/>
    <w:rsid w:val="006B32DC"/>
    <w:rsid w:val="006B36B5"/>
    <w:rsid w:val="006C1BDF"/>
    <w:rsid w:val="006C30E0"/>
    <w:rsid w:val="006C3625"/>
    <w:rsid w:val="006C37AE"/>
    <w:rsid w:val="006C619A"/>
    <w:rsid w:val="006C61FF"/>
    <w:rsid w:val="006C68FB"/>
    <w:rsid w:val="006D2DD8"/>
    <w:rsid w:val="006D3E03"/>
    <w:rsid w:val="006D4722"/>
    <w:rsid w:val="006D5BF2"/>
    <w:rsid w:val="006D69E0"/>
    <w:rsid w:val="006D69FF"/>
    <w:rsid w:val="006E053B"/>
    <w:rsid w:val="006E1E53"/>
    <w:rsid w:val="006E6A04"/>
    <w:rsid w:val="006E6C0F"/>
    <w:rsid w:val="006E74F7"/>
    <w:rsid w:val="006F4961"/>
    <w:rsid w:val="006F5194"/>
    <w:rsid w:val="007004A3"/>
    <w:rsid w:val="00704824"/>
    <w:rsid w:val="00706946"/>
    <w:rsid w:val="007140E2"/>
    <w:rsid w:val="00714319"/>
    <w:rsid w:val="007173D1"/>
    <w:rsid w:val="00720FF8"/>
    <w:rsid w:val="00726B1A"/>
    <w:rsid w:val="007325A2"/>
    <w:rsid w:val="007344D2"/>
    <w:rsid w:val="00736201"/>
    <w:rsid w:val="00736396"/>
    <w:rsid w:val="00736AD9"/>
    <w:rsid w:val="0075077E"/>
    <w:rsid w:val="00752D22"/>
    <w:rsid w:val="00761BB5"/>
    <w:rsid w:val="00765D16"/>
    <w:rsid w:val="00766740"/>
    <w:rsid w:val="00766E32"/>
    <w:rsid w:val="00767C74"/>
    <w:rsid w:val="007707AB"/>
    <w:rsid w:val="0077181D"/>
    <w:rsid w:val="00771863"/>
    <w:rsid w:val="007726AC"/>
    <w:rsid w:val="007757B9"/>
    <w:rsid w:val="00776B9B"/>
    <w:rsid w:val="00776CAA"/>
    <w:rsid w:val="00783C76"/>
    <w:rsid w:val="007905CD"/>
    <w:rsid w:val="00791674"/>
    <w:rsid w:val="0079568D"/>
    <w:rsid w:val="0079667C"/>
    <w:rsid w:val="007A2378"/>
    <w:rsid w:val="007A26FC"/>
    <w:rsid w:val="007A2BC3"/>
    <w:rsid w:val="007A49C2"/>
    <w:rsid w:val="007B0FCB"/>
    <w:rsid w:val="007B0FEC"/>
    <w:rsid w:val="007B12CF"/>
    <w:rsid w:val="007B5A38"/>
    <w:rsid w:val="007B684A"/>
    <w:rsid w:val="007B6AF0"/>
    <w:rsid w:val="007C0B07"/>
    <w:rsid w:val="007C2A81"/>
    <w:rsid w:val="007C2E9D"/>
    <w:rsid w:val="007C530D"/>
    <w:rsid w:val="007C7AB6"/>
    <w:rsid w:val="007E0A41"/>
    <w:rsid w:val="007E2171"/>
    <w:rsid w:val="007E5BDB"/>
    <w:rsid w:val="007E69CF"/>
    <w:rsid w:val="007F18F8"/>
    <w:rsid w:val="007F474F"/>
    <w:rsid w:val="008034DF"/>
    <w:rsid w:val="008063A6"/>
    <w:rsid w:val="0081248C"/>
    <w:rsid w:val="00812B1C"/>
    <w:rsid w:val="008134D2"/>
    <w:rsid w:val="0082047E"/>
    <w:rsid w:val="008213E3"/>
    <w:rsid w:val="00822794"/>
    <w:rsid w:val="00826613"/>
    <w:rsid w:val="008334EB"/>
    <w:rsid w:val="00833ADC"/>
    <w:rsid w:val="0084041B"/>
    <w:rsid w:val="00841043"/>
    <w:rsid w:val="00841834"/>
    <w:rsid w:val="00843C36"/>
    <w:rsid w:val="008526B7"/>
    <w:rsid w:val="00852C1B"/>
    <w:rsid w:val="00853129"/>
    <w:rsid w:val="0085389F"/>
    <w:rsid w:val="00862A9D"/>
    <w:rsid w:val="00866CCA"/>
    <w:rsid w:val="008761D7"/>
    <w:rsid w:val="008822AF"/>
    <w:rsid w:val="00883F03"/>
    <w:rsid w:val="00891480"/>
    <w:rsid w:val="00891773"/>
    <w:rsid w:val="00893ABF"/>
    <w:rsid w:val="00893FB9"/>
    <w:rsid w:val="00894800"/>
    <w:rsid w:val="008A3DA1"/>
    <w:rsid w:val="008B297C"/>
    <w:rsid w:val="008B73E0"/>
    <w:rsid w:val="008B7A5C"/>
    <w:rsid w:val="008C2471"/>
    <w:rsid w:val="008C391D"/>
    <w:rsid w:val="008C3CA9"/>
    <w:rsid w:val="008C4B6B"/>
    <w:rsid w:val="008D178A"/>
    <w:rsid w:val="008D247A"/>
    <w:rsid w:val="008D4F27"/>
    <w:rsid w:val="008D6161"/>
    <w:rsid w:val="008E05D9"/>
    <w:rsid w:val="008E0780"/>
    <w:rsid w:val="008E2515"/>
    <w:rsid w:val="008E4C59"/>
    <w:rsid w:val="008E6EDD"/>
    <w:rsid w:val="008F48D4"/>
    <w:rsid w:val="008F55BE"/>
    <w:rsid w:val="008F6BB0"/>
    <w:rsid w:val="008F7379"/>
    <w:rsid w:val="008F7B84"/>
    <w:rsid w:val="00903354"/>
    <w:rsid w:val="00903A09"/>
    <w:rsid w:val="00905346"/>
    <w:rsid w:val="0090587B"/>
    <w:rsid w:val="00907AD3"/>
    <w:rsid w:val="00907C2B"/>
    <w:rsid w:val="00914E4A"/>
    <w:rsid w:val="0092043A"/>
    <w:rsid w:val="009273D9"/>
    <w:rsid w:val="009462AA"/>
    <w:rsid w:val="009474FA"/>
    <w:rsid w:val="00953A2D"/>
    <w:rsid w:val="00955AD6"/>
    <w:rsid w:val="0095684E"/>
    <w:rsid w:val="009604E6"/>
    <w:rsid w:val="00961728"/>
    <w:rsid w:val="00964DDE"/>
    <w:rsid w:val="009663F6"/>
    <w:rsid w:val="00966AAA"/>
    <w:rsid w:val="00971A21"/>
    <w:rsid w:val="0098647A"/>
    <w:rsid w:val="00991656"/>
    <w:rsid w:val="00994B45"/>
    <w:rsid w:val="00995564"/>
    <w:rsid w:val="00997E39"/>
    <w:rsid w:val="009B3441"/>
    <w:rsid w:val="009B4665"/>
    <w:rsid w:val="009B4B8B"/>
    <w:rsid w:val="009B6BF9"/>
    <w:rsid w:val="009C56CC"/>
    <w:rsid w:val="009D06B4"/>
    <w:rsid w:val="009D24B4"/>
    <w:rsid w:val="009D5B88"/>
    <w:rsid w:val="009D7399"/>
    <w:rsid w:val="009E7DDE"/>
    <w:rsid w:val="009F5F67"/>
    <w:rsid w:val="009F7334"/>
    <w:rsid w:val="00A009AA"/>
    <w:rsid w:val="00A07695"/>
    <w:rsid w:val="00A13B50"/>
    <w:rsid w:val="00A13E14"/>
    <w:rsid w:val="00A156AA"/>
    <w:rsid w:val="00A20B0D"/>
    <w:rsid w:val="00A26286"/>
    <w:rsid w:val="00A269D2"/>
    <w:rsid w:val="00A31981"/>
    <w:rsid w:val="00A35002"/>
    <w:rsid w:val="00A3589B"/>
    <w:rsid w:val="00A40F9E"/>
    <w:rsid w:val="00A440A3"/>
    <w:rsid w:val="00A44AB4"/>
    <w:rsid w:val="00A469B1"/>
    <w:rsid w:val="00A5237D"/>
    <w:rsid w:val="00A700D4"/>
    <w:rsid w:val="00A7291B"/>
    <w:rsid w:val="00A73F7B"/>
    <w:rsid w:val="00A748D4"/>
    <w:rsid w:val="00A8131E"/>
    <w:rsid w:val="00A90433"/>
    <w:rsid w:val="00A916AB"/>
    <w:rsid w:val="00A91D44"/>
    <w:rsid w:val="00A93883"/>
    <w:rsid w:val="00AA0B11"/>
    <w:rsid w:val="00AA1446"/>
    <w:rsid w:val="00AA36C9"/>
    <w:rsid w:val="00AA4ABC"/>
    <w:rsid w:val="00AA6875"/>
    <w:rsid w:val="00AB5869"/>
    <w:rsid w:val="00AB64A3"/>
    <w:rsid w:val="00AD113A"/>
    <w:rsid w:val="00AD326B"/>
    <w:rsid w:val="00AD5587"/>
    <w:rsid w:val="00AE5F9E"/>
    <w:rsid w:val="00AF3353"/>
    <w:rsid w:val="00AF3F3B"/>
    <w:rsid w:val="00B01363"/>
    <w:rsid w:val="00B035FC"/>
    <w:rsid w:val="00B20B6E"/>
    <w:rsid w:val="00B26E4F"/>
    <w:rsid w:val="00B30BAA"/>
    <w:rsid w:val="00B31B4D"/>
    <w:rsid w:val="00B32514"/>
    <w:rsid w:val="00B41F67"/>
    <w:rsid w:val="00B44772"/>
    <w:rsid w:val="00B47FAE"/>
    <w:rsid w:val="00B520C7"/>
    <w:rsid w:val="00B62F1E"/>
    <w:rsid w:val="00B67C87"/>
    <w:rsid w:val="00B73278"/>
    <w:rsid w:val="00B73D05"/>
    <w:rsid w:val="00B95CE8"/>
    <w:rsid w:val="00BA11ED"/>
    <w:rsid w:val="00BA266A"/>
    <w:rsid w:val="00BB04B1"/>
    <w:rsid w:val="00BB2620"/>
    <w:rsid w:val="00BB372D"/>
    <w:rsid w:val="00BD275C"/>
    <w:rsid w:val="00BD45CE"/>
    <w:rsid w:val="00BD49A4"/>
    <w:rsid w:val="00BD5DFE"/>
    <w:rsid w:val="00BD6535"/>
    <w:rsid w:val="00BD7E81"/>
    <w:rsid w:val="00BE0707"/>
    <w:rsid w:val="00BE0D13"/>
    <w:rsid w:val="00BE11D4"/>
    <w:rsid w:val="00BE4D3E"/>
    <w:rsid w:val="00BE6DFA"/>
    <w:rsid w:val="00BE7CC4"/>
    <w:rsid w:val="00BF546C"/>
    <w:rsid w:val="00C0504D"/>
    <w:rsid w:val="00C0748D"/>
    <w:rsid w:val="00C11E82"/>
    <w:rsid w:val="00C11F07"/>
    <w:rsid w:val="00C204F7"/>
    <w:rsid w:val="00C22512"/>
    <w:rsid w:val="00C321C5"/>
    <w:rsid w:val="00C32227"/>
    <w:rsid w:val="00C32C53"/>
    <w:rsid w:val="00C43A7D"/>
    <w:rsid w:val="00C44868"/>
    <w:rsid w:val="00C45446"/>
    <w:rsid w:val="00C46914"/>
    <w:rsid w:val="00C50960"/>
    <w:rsid w:val="00C5180A"/>
    <w:rsid w:val="00C52BCA"/>
    <w:rsid w:val="00C60376"/>
    <w:rsid w:val="00C71F35"/>
    <w:rsid w:val="00C746DB"/>
    <w:rsid w:val="00C74CD5"/>
    <w:rsid w:val="00C811D4"/>
    <w:rsid w:val="00C832E0"/>
    <w:rsid w:val="00C845F8"/>
    <w:rsid w:val="00C8490F"/>
    <w:rsid w:val="00C86BA4"/>
    <w:rsid w:val="00C877D1"/>
    <w:rsid w:val="00C91D86"/>
    <w:rsid w:val="00C930CD"/>
    <w:rsid w:val="00CA0A34"/>
    <w:rsid w:val="00CA65F2"/>
    <w:rsid w:val="00CA746E"/>
    <w:rsid w:val="00CB1375"/>
    <w:rsid w:val="00CB180E"/>
    <w:rsid w:val="00CB1FD8"/>
    <w:rsid w:val="00CC24EC"/>
    <w:rsid w:val="00CC4BE2"/>
    <w:rsid w:val="00CC78B7"/>
    <w:rsid w:val="00CD31FB"/>
    <w:rsid w:val="00CD597B"/>
    <w:rsid w:val="00CE0FF2"/>
    <w:rsid w:val="00CE4940"/>
    <w:rsid w:val="00CE689A"/>
    <w:rsid w:val="00CF2DDD"/>
    <w:rsid w:val="00CF34D2"/>
    <w:rsid w:val="00CF4D73"/>
    <w:rsid w:val="00D02157"/>
    <w:rsid w:val="00D03E4A"/>
    <w:rsid w:val="00D05B15"/>
    <w:rsid w:val="00D06F21"/>
    <w:rsid w:val="00D15C53"/>
    <w:rsid w:val="00D16AB2"/>
    <w:rsid w:val="00D2457B"/>
    <w:rsid w:val="00D24DFC"/>
    <w:rsid w:val="00D309D4"/>
    <w:rsid w:val="00D319EF"/>
    <w:rsid w:val="00D329C7"/>
    <w:rsid w:val="00D349B7"/>
    <w:rsid w:val="00D34A48"/>
    <w:rsid w:val="00D418A6"/>
    <w:rsid w:val="00D43C8F"/>
    <w:rsid w:val="00D43C9D"/>
    <w:rsid w:val="00D47097"/>
    <w:rsid w:val="00D474B0"/>
    <w:rsid w:val="00D50F7D"/>
    <w:rsid w:val="00D51E0A"/>
    <w:rsid w:val="00D61060"/>
    <w:rsid w:val="00D643AA"/>
    <w:rsid w:val="00D725A2"/>
    <w:rsid w:val="00D727EC"/>
    <w:rsid w:val="00D72D28"/>
    <w:rsid w:val="00D75808"/>
    <w:rsid w:val="00D77FFA"/>
    <w:rsid w:val="00D833B2"/>
    <w:rsid w:val="00D87F4A"/>
    <w:rsid w:val="00D96179"/>
    <w:rsid w:val="00D963F9"/>
    <w:rsid w:val="00DA0983"/>
    <w:rsid w:val="00DA0CC3"/>
    <w:rsid w:val="00DA673C"/>
    <w:rsid w:val="00DA7267"/>
    <w:rsid w:val="00DB127F"/>
    <w:rsid w:val="00DB363B"/>
    <w:rsid w:val="00DB66ED"/>
    <w:rsid w:val="00DB6AF5"/>
    <w:rsid w:val="00DD3F09"/>
    <w:rsid w:val="00DD58F6"/>
    <w:rsid w:val="00DE46AD"/>
    <w:rsid w:val="00DE4A05"/>
    <w:rsid w:val="00DE6253"/>
    <w:rsid w:val="00DE6504"/>
    <w:rsid w:val="00DE6696"/>
    <w:rsid w:val="00DE7089"/>
    <w:rsid w:val="00DE7690"/>
    <w:rsid w:val="00DF21FC"/>
    <w:rsid w:val="00DF2695"/>
    <w:rsid w:val="00DF6797"/>
    <w:rsid w:val="00E014B2"/>
    <w:rsid w:val="00E0629E"/>
    <w:rsid w:val="00E0768E"/>
    <w:rsid w:val="00E076A1"/>
    <w:rsid w:val="00E12A24"/>
    <w:rsid w:val="00E12DA9"/>
    <w:rsid w:val="00E1572D"/>
    <w:rsid w:val="00E20015"/>
    <w:rsid w:val="00E2118C"/>
    <w:rsid w:val="00E219FA"/>
    <w:rsid w:val="00E222C8"/>
    <w:rsid w:val="00E230FB"/>
    <w:rsid w:val="00E24C63"/>
    <w:rsid w:val="00E26C3E"/>
    <w:rsid w:val="00E30A8F"/>
    <w:rsid w:val="00E32640"/>
    <w:rsid w:val="00E34396"/>
    <w:rsid w:val="00E423D6"/>
    <w:rsid w:val="00E43AFB"/>
    <w:rsid w:val="00E459B4"/>
    <w:rsid w:val="00E45A03"/>
    <w:rsid w:val="00E46F6E"/>
    <w:rsid w:val="00E53031"/>
    <w:rsid w:val="00E53E85"/>
    <w:rsid w:val="00E57E62"/>
    <w:rsid w:val="00E607A6"/>
    <w:rsid w:val="00E615AD"/>
    <w:rsid w:val="00E62188"/>
    <w:rsid w:val="00E63307"/>
    <w:rsid w:val="00E6355B"/>
    <w:rsid w:val="00E638B9"/>
    <w:rsid w:val="00E70A88"/>
    <w:rsid w:val="00E73CFD"/>
    <w:rsid w:val="00E74F16"/>
    <w:rsid w:val="00E752F0"/>
    <w:rsid w:val="00E76760"/>
    <w:rsid w:val="00E86A14"/>
    <w:rsid w:val="00E874DE"/>
    <w:rsid w:val="00E907CA"/>
    <w:rsid w:val="00E95583"/>
    <w:rsid w:val="00E97D88"/>
    <w:rsid w:val="00EA3614"/>
    <w:rsid w:val="00EB2731"/>
    <w:rsid w:val="00EB2FF4"/>
    <w:rsid w:val="00EB3805"/>
    <w:rsid w:val="00EB59A1"/>
    <w:rsid w:val="00EC0187"/>
    <w:rsid w:val="00EC1094"/>
    <w:rsid w:val="00EC2B09"/>
    <w:rsid w:val="00EC63CD"/>
    <w:rsid w:val="00ED2F39"/>
    <w:rsid w:val="00ED7DD8"/>
    <w:rsid w:val="00EE022A"/>
    <w:rsid w:val="00EE084F"/>
    <w:rsid w:val="00EE2714"/>
    <w:rsid w:val="00EE5F0A"/>
    <w:rsid w:val="00EF1E22"/>
    <w:rsid w:val="00EF3070"/>
    <w:rsid w:val="00EF382B"/>
    <w:rsid w:val="00EF52E2"/>
    <w:rsid w:val="00EF6111"/>
    <w:rsid w:val="00EF67BE"/>
    <w:rsid w:val="00EF6C86"/>
    <w:rsid w:val="00EF7946"/>
    <w:rsid w:val="00F0046C"/>
    <w:rsid w:val="00F04D66"/>
    <w:rsid w:val="00F04FA9"/>
    <w:rsid w:val="00F12CCF"/>
    <w:rsid w:val="00F172B0"/>
    <w:rsid w:val="00F203E5"/>
    <w:rsid w:val="00F3392C"/>
    <w:rsid w:val="00F3734A"/>
    <w:rsid w:val="00F42541"/>
    <w:rsid w:val="00F45B63"/>
    <w:rsid w:val="00F51672"/>
    <w:rsid w:val="00F52243"/>
    <w:rsid w:val="00F52B88"/>
    <w:rsid w:val="00F60768"/>
    <w:rsid w:val="00F63C36"/>
    <w:rsid w:val="00F64303"/>
    <w:rsid w:val="00F646D6"/>
    <w:rsid w:val="00F64935"/>
    <w:rsid w:val="00F65634"/>
    <w:rsid w:val="00F65F6E"/>
    <w:rsid w:val="00F6661A"/>
    <w:rsid w:val="00F74855"/>
    <w:rsid w:val="00F74FE4"/>
    <w:rsid w:val="00F81E9E"/>
    <w:rsid w:val="00F84FCF"/>
    <w:rsid w:val="00F867EC"/>
    <w:rsid w:val="00F93613"/>
    <w:rsid w:val="00FA0DCA"/>
    <w:rsid w:val="00FB055D"/>
    <w:rsid w:val="00FB0632"/>
    <w:rsid w:val="00FB107B"/>
    <w:rsid w:val="00FB3F2C"/>
    <w:rsid w:val="00FB4787"/>
    <w:rsid w:val="00FB5893"/>
    <w:rsid w:val="00FB58E2"/>
    <w:rsid w:val="00FB5DFB"/>
    <w:rsid w:val="00FB6A8B"/>
    <w:rsid w:val="00FB6A8C"/>
    <w:rsid w:val="00FB6ADD"/>
    <w:rsid w:val="00FB6DE2"/>
    <w:rsid w:val="00FC3E62"/>
    <w:rsid w:val="00FC4712"/>
    <w:rsid w:val="00FD0A12"/>
    <w:rsid w:val="00FD2F58"/>
    <w:rsid w:val="00FD5EC9"/>
    <w:rsid w:val="00FE3B76"/>
    <w:rsid w:val="00FE4A62"/>
    <w:rsid w:val="00FF223B"/>
    <w:rsid w:val="00FF77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FC26D5A7-2AA3-49DA-838D-5B4B50D65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81E9E"/>
    <w:pPr>
      <w:jc w:val="both"/>
    </w:pPr>
    <w:rPr>
      <w:rFonts w:ascii="Verdana" w:hAnsi="Verdana"/>
      <w:lang w:val="fr-BE" w:eastAsia="en-GB"/>
    </w:rPr>
  </w:style>
  <w:style w:type="paragraph" w:styleId="Kop1">
    <w:name w:val="heading 1"/>
    <w:basedOn w:val="Standaard"/>
    <w:next w:val="Standaard"/>
    <w:qFormat/>
    <w:rsid w:val="007726AC"/>
    <w:pPr>
      <w:keepNext/>
      <w:numPr>
        <w:numId w:val="14"/>
      </w:numPr>
      <w:spacing w:before="240" w:after="240"/>
      <w:jc w:val="right"/>
      <w:outlineLvl w:val="0"/>
    </w:pPr>
    <w:rPr>
      <w:rFonts w:ascii="Arial" w:hAnsi="Arial" w:cs="Arial"/>
      <w:b/>
      <w:kern w:val="28"/>
      <w:sz w:val="48"/>
      <w:szCs w:val="52"/>
    </w:rPr>
  </w:style>
  <w:style w:type="paragraph" w:styleId="Kop2">
    <w:name w:val="heading 2"/>
    <w:basedOn w:val="Standaard"/>
    <w:next w:val="Standaard"/>
    <w:qFormat/>
    <w:rsid w:val="00C52BCA"/>
    <w:pPr>
      <w:keepNext/>
      <w:numPr>
        <w:ilvl w:val="1"/>
        <w:numId w:val="14"/>
      </w:numPr>
      <w:spacing w:before="240" w:after="60"/>
      <w:outlineLvl w:val="1"/>
    </w:pPr>
    <w:rPr>
      <w:b/>
      <w:bCs/>
      <w:i/>
      <w:iCs/>
      <w:sz w:val="32"/>
      <w:szCs w:val="32"/>
      <w:lang w:val="fr-FR"/>
    </w:rPr>
  </w:style>
  <w:style w:type="paragraph" w:styleId="Kop3">
    <w:name w:val="heading 3"/>
    <w:basedOn w:val="Standaard"/>
    <w:next w:val="Standaard"/>
    <w:link w:val="Kop3Char"/>
    <w:qFormat/>
    <w:rsid w:val="00554A38"/>
    <w:pPr>
      <w:keepNext/>
      <w:spacing w:before="240" w:after="120"/>
      <w:outlineLvl w:val="2"/>
    </w:pPr>
    <w:rPr>
      <w:sz w:val="24"/>
      <w:szCs w:val="24"/>
    </w:rPr>
  </w:style>
  <w:style w:type="paragraph" w:styleId="Kop4">
    <w:name w:val="heading 4"/>
    <w:basedOn w:val="Standaard"/>
    <w:next w:val="Standaard"/>
    <w:link w:val="Kop4Char"/>
    <w:qFormat/>
    <w:rsid w:val="00554A38"/>
    <w:pPr>
      <w:keepNext/>
      <w:numPr>
        <w:ilvl w:val="3"/>
        <w:numId w:val="14"/>
      </w:numPr>
      <w:ind w:left="851" w:hanging="851"/>
      <w:outlineLvl w:val="3"/>
    </w:pPr>
    <w:rPr>
      <w:b/>
    </w:rPr>
  </w:style>
  <w:style w:type="paragraph" w:styleId="Kop5">
    <w:name w:val="heading 5"/>
    <w:basedOn w:val="Standaard"/>
    <w:next w:val="Standaard"/>
    <w:qFormat/>
    <w:rsid w:val="00C8490F"/>
    <w:pPr>
      <w:keepNext/>
      <w:numPr>
        <w:ilvl w:val="4"/>
        <w:numId w:val="6"/>
      </w:numPr>
      <w:outlineLvl w:val="4"/>
    </w:pPr>
    <w:rPr>
      <w:b/>
    </w:rPr>
  </w:style>
  <w:style w:type="paragraph" w:styleId="Kop6">
    <w:name w:val="heading 6"/>
    <w:basedOn w:val="Standaard"/>
    <w:next w:val="Standaard"/>
    <w:qFormat/>
    <w:rsid w:val="007726AC"/>
    <w:pPr>
      <w:keepNext/>
      <w:numPr>
        <w:ilvl w:val="5"/>
        <w:numId w:val="14"/>
      </w:numPr>
      <w:jc w:val="center"/>
      <w:outlineLvl w:val="5"/>
    </w:pPr>
    <w:rPr>
      <w:b/>
    </w:rPr>
  </w:style>
  <w:style w:type="paragraph" w:styleId="Kop7">
    <w:name w:val="heading 7"/>
    <w:basedOn w:val="Standaard"/>
    <w:next w:val="Standaard"/>
    <w:qFormat/>
    <w:rsid w:val="007726AC"/>
    <w:pPr>
      <w:keepNext/>
      <w:numPr>
        <w:ilvl w:val="6"/>
        <w:numId w:val="14"/>
      </w:numPr>
      <w:spacing w:before="120" w:after="120"/>
      <w:jc w:val="center"/>
      <w:outlineLvl w:val="6"/>
    </w:pPr>
    <w:rPr>
      <w:i/>
      <w:lang w:val="nl-BE"/>
    </w:rPr>
  </w:style>
  <w:style w:type="paragraph" w:styleId="Kop8">
    <w:name w:val="heading 8"/>
    <w:basedOn w:val="Standaard"/>
    <w:next w:val="Standaard"/>
    <w:qFormat/>
    <w:rsid w:val="007726AC"/>
    <w:pPr>
      <w:keepNext/>
      <w:numPr>
        <w:ilvl w:val="7"/>
        <w:numId w:val="14"/>
      </w:numPr>
      <w:outlineLvl w:val="7"/>
    </w:pPr>
    <w:rPr>
      <w:i/>
    </w:rPr>
  </w:style>
  <w:style w:type="paragraph" w:styleId="Kop9">
    <w:name w:val="heading 9"/>
    <w:basedOn w:val="Standaard"/>
    <w:next w:val="Standaard"/>
    <w:qFormat/>
    <w:rsid w:val="007726AC"/>
    <w:pPr>
      <w:numPr>
        <w:ilvl w:val="8"/>
        <w:numId w:val="14"/>
      </w:numPr>
      <w:spacing w:before="240" w:after="60"/>
      <w:outlineLvl w:val="8"/>
    </w:pPr>
    <w:rPr>
      <w:rFonts w:ascii="Arial" w:hAnsi="Arial"/>
      <w:i/>
      <w:sz w:val="18"/>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uiPriority w:val="99"/>
    <w:semiHidden/>
  </w:style>
  <w:style w:type="paragraph" w:styleId="Koptekst">
    <w:name w:val="header"/>
    <w:basedOn w:val="Standaard"/>
    <w:link w:val="KoptekstChar"/>
    <w:uiPriority w:val="99"/>
    <w:rsid w:val="00C8490F"/>
    <w:pPr>
      <w:tabs>
        <w:tab w:val="center" w:pos="4320"/>
        <w:tab w:val="right" w:pos="8640"/>
      </w:tabs>
    </w:pPr>
  </w:style>
  <w:style w:type="paragraph" w:styleId="Voettekst">
    <w:name w:val="footer"/>
    <w:basedOn w:val="Standaard"/>
    <w:link w:val="VoettekstChar"/>
    <w:uiPriority w:val="99"/>
    <w:rsid w:val="00C8490F"/>
    <w:pPr>
      <w:tabs>
        <w:tab w:val="center" w:pos="4320"/>
        <w:tab w:val="right" w:pos="8640"/>
      </w:tabs>
    </w:pPr>
  </w:style>
  <w:style w:type="paragraph" w:styleId="Plattetekst">
    <w:name w:val="Body Text"/>
    <w:basedOn w:val="Standaard"/>
    <w:rsid w:val="00C8490F"/>
    <w:rPr>
      <w:lang w:val="nl-BE"/>
    </w:rPr>
  </w:style>
  <w:style w:type="paragraph" w:styleId="Ballontekst">
    <w:name w:val="Balloon Text"/>
    <w:basedOn w:val="Standaard"/>
    <w:link w:val="BallontekstChar"/>
    <w:uiPriority w:val="99"/>
    <w:semiHidden/>
    <w:rsid w:val="00CF4D73"/>
    <w:rPr>
      <w:rFonts w:ascii="Tahoma" w:hAnsi="Tahoma" w:cs="Tahoma"/>
      <w:sz w:val="16"/>
      <w:szCs w:val="16"/>
    </w:rPr>
  </w:style>
  <w:style w:type="paragraph" w:styleId="Inhopg1">
    <w:name w:val="toc 1"/>
    <w:basedOn w:val="Standaard"/>
    <w:next w:val="Standaard"/>
    <w:autoRedefine/>
    <w:uiPriority w:val="39"/>
    <w:rsid w:val="00CE689A"/>
    <w:pPr>
      <w:tabs>
        <w:tab w:val="left" w:pos="567"/>
        <w:tab w:val="right" w:leader="dot" w:pos="9072"/>
      </w:tabs>
      <w:spacing w:before="120" w:after="120"/>
      <w:ind w:left="567" w:hanging="567"/>
    </w:pPr>
    <w:rPr>
      <w:b/>
      <w:caps/>
      <w:lang w:val="nl"/>
    </w:rPr>
  </w:style>
  <w:style w:type="paragraph" w:styleId="Inhopg2">
    <w:name w:val="toc 2"/>
    <w:basedOn w:val="Standaard"/>
    <w:next w:val="Standaard"/>
    <w:autoRedefine/>
    <w:uiPriority w:val="39"/>
    <w:rsid w:val="00382483"/>
    <w:pPr>
      <w:tabs>
        <w:tab w:val="left" w:pos="993"/>
        <w:tab w:val="right" w:leader="dot" w:pos="9072"/>
      </w:tabs>
      <w:spacing w:before="60" w:after="60"/>
      <w:ind w:left="992" w:hanging="754"/>
    </w:pPr>
    <w:rPr>
      <w:smallCaps/>
      <w:lang w:val="nl"/>
    </w:rPr>
  </w:style>
  <w:style w:type="table" w:styleId="Tabelraster">
    <w:name w:val="Table Grid"/>
    <w:basedOn w:val="Standaardtabel"/>
    <w:uiPriority w:val="39"/>
    <w:rsid w:val="00DA0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A0CC3"/>
    <w:rPr>
      <w:color w:val="0000FF"/>
      <w:u w:val="single"/>
    </w:rPr>
  </w:style>
  <w:style w:type="character" w:styleId="Voetnootmarkering">
    <w:name w:val="footnote reference"/>
    <w:semiHidden/>
    <w:rsid w:val="00DA0CC3"/>
    <w:rPr>
      <w:vertAlign w:val="superscript"/>
    </w:rPr>
  </w:style>
  <w:style w:type="character" w:styleId="Paginanummer">
    <w:name w:val="page number"/>
    <w:basedOn w:val="Standaardalinea-lettertype"/>
    <w:rsid w:val="00DA0CC3"/>
  </w:style>
  <w:style w:type="character" w:styleId="Verwijzingopmerking">
    <w:name w:val="annotation reference"/>
    <w:uiPriority w:val="99"/>
    <w:semiHidden/>
    <w:rsid w:val="00167CEE"/>
    <w:rPr>
      <w:sz w:val="16"/>
      <w:szCs w:val="16"/>
    </w:rPr>
  </w:style>
  <w:style w:type="paragraph" w:styleId="Tekstopmerking">
    <w:name w:val="annotation text"/>
    <w:basedOn w:val="Standaard"/>
    <w:link w:val="TekstopmerkingChar"/>
    <w:uiPriority w:val="99"/>
    <w:rsid w:val="00167CEE"/>
  </w:style>
  <w:style w:type="paragraph" w:styleId="Inhopg3">
    <w:name w:val="toc 3"/>
    <w:basedOn w:val="Standaard"/>
    <w:next w:val="Standaard"/>
    <w:autoRedefine/>
    <w:semiHidden/>
    <w:rsid w:val="00FB6A8C"/>
    <w:pPr>
      <w:ind w:left="400"/>
    </w:pPr>
  </w:style>
  <w:style w:type="character" w:styleId="GevolgdeHyperlink">
    <w:name w:val="FollowedHyperlink"/>
    <w:rsid w:val="001C59AF"/>
    <w:rPr>
      <w:color w:val="800080"/>
      <w:u w:val="single"/>
    </w:rPr>
  </w:style>
  <w:style w:type="paragraph" w:styleId="Voetnoottekst">
    <w:name w:val="footnote text"/>
    <w:basedOn w:val="Standaard"/>
    <w:link w:val="VoetnoottekstChar"/>
    <w:semiHidden/>
    <w:rsid w:val="00FE3B76"/>
  </w:style>
  <w:style w:type="character" w:styleId="Zwaar">
    <w:name w:val="Strong"/>
    <w:qFormat/>
    <w:rsid w:val="002A0B7B"/>
    <w:rPr>
      <w:b/>
      <w:bCs/>
    </w:rPr>
  </w:style>
  <w:style w:type="character" w:customStyle="1" w:styleId="PeterVansina">
    <w:name w:val="Peter Vansina"/>
    <w:semiHidden/>
    <w:rsid w:val="00BD45CE"/>
    <w:rPr>
      <w:rFonts w:ascii="Arial" w:hAnsi="Arial" w:cs="Arial"/>
      <w:color w:val="auto"/>
      <w:sz w:val="20"/>
      <w:szCs w:val="20"/>
    </w:rPr>
  </w:style>
  <w:style w:type="paragraph" w:customStyle="1" w:styleId="tabelopsom-1">
    <w:name w:val="tabel opsom-1"/>
    <w:basedOn w:val="Standaard"/>
    <w:rsid w:val="00BD5DFE"/>
    <w:pPr>
      <w:numPr>
        <w:ilvl w:val="1"/>
        <w:numId w:val="9"/>
      </w:numPr>
      <w:tabs>
        <w:tab w:val="clear" w:pos="1080"/>
        <w:tab w:val="num" w:pos="530"/>
      </w:tabs>
      <w:ind w:left="530" w:hanging="170"/>
      <w:jc w:val="left"/>
    </w:pPr>
    <w:rPr>
      <w:rFonts w:ascii="Arial" w:hAnsi="Arial" w:cs="Arial"/>
      <w:lang w:val="fr-FR" w:eastAsia="nl-NL"/>
    </w:rPr>
  </w:style>
  <w:style w:type="paragraph" w:customStyle="1" w:styleId="tabelpuntverdana">
    <w:name w:val="tabel punt + verdana"/>
    <w:basedOn w:val="Standaard"/>
    <w:link w:val="tabelpuntverdanaChar"/>
    <w:rsid w:val="001D3C85"/>
    <w:pPr>
      <w:numPr>
        <w:numId w:val="7"/>
      </w:numPr>
      <w:ind w:left="357" w:hanging="357"/>
      <w:jc w:val="left"/>
    </w:pPr>
    <w:rPr>
      <w:rFonts w:cs="Arial"/>
      <w:lang w:val="fr-FR" w:eastAsia="nl-NL"/>
    </w:rPr>
  </w:style>
  <w:style w:type="character" w:customStyle="1" w:styleId="tabelpuntverdanaChar">
    <w:name w:val="tabel punt + verdana Char"/>
    <w:link w:val="tabelpuntverdana"/>
    <w:rsid w:val="001D3C85"/>
    <w:rPr>
      <w:rFonts w:ascii="Verdana" w:hAnsi="Verdana" w:cs="Arial"/>
      <w:lang w:val="fr-FR" w:eastAsia="nl-NL"/>
    </w:rPr>
  </w:style>
  <w:style w:type="paragraph" w:customStyle="1" w:styleId="Default">
    <w:name w:val="Default"/>
    <w:rsid w:val="00225CC8"/>
    <w:pPr>
      <w:autoSpaceDE w:val="0"/>
      <w:autoSpaceDN w:val="0"/>
      <w:adjustRightInd w:val="0"/>
    </w:pPr>
    <w:rPr>
      <w:rFonts w:ascii="Cambria" w:hAnsi="Cambria" w:cs="Cambria"/>
      <w:color w:val="000000"/>
      <w:sz w:val="24"/>
      <w:szCs w:val="24"/>
      <w:lang w:val="en-US" w:eastAsia="en-US"/>
    </w:rPr>
  </w:style>
  <w:style w:type="paragraph" w:styleId="Onderwerpvanopmerking">
    <w:name w:val="annotation subject"/>
    <w:basedOn w:val="Tekstopmerking"/>
    <w:next w:val="Tekstopmerking"/>
    <w:link w:val="OnderwerpvanopmerkingChar"/>
    <w:uiPriority w:val="99"/>
    <w:rsid w:val="00021100"/>
    <w:rPr>
      <w:b/>
      <w:bCs/>
    </w:rPr>
  </w:style>
  <w:style w:type="character" w:customStyle="1" w:styleId="TekstopmerkingChar">
    <w:name w:val="Tekst opmerking Char"/>
    <w:link w:val="Tekstopmerking"/>
    <w:uiPriority w:val="99"/>
    <w:rsid w:val="00021100"/>
    <w:rPr>
      <w:rFonts w:ascii="Verdana" w:hAnsi="Verdana"/>
      <w:lang w:val="fr-BE" w:eastAsia="en-GB"/>
    </w:rPr>
  </w:style>
  <w:style w:type="character" w:customStyle="1" w:styleId="OnderwerpvanopmerkingChar">
    <w:name w:val="Onderwerp van opmerking Char"/>
    <w:link w:val="Onderwerpvanopmerking"/>
    <w:uiPriority w:val="99"/>
    <w:rsid w:val="00021100"/>
    <w:rPr>
      <w:rFonts w:ascii="Verdana" w:hAnsi="Verdana"/>
      <w:b/>
      <w:bCs/>
      <w:lang w:val="fr-BE" w:eastAsia="en-GB"/>
    </w:rPr>
  </w:style>
  <w:style w:type="paragraph" w:styleId="Revisie">
    <w:name w:val="Revision"/>
    <w:hidden/>
    <w:uiPriority w:val="99"/>
    <w:semiHidden/>
    <w:rsid w:val="009462AA"/>
    <w:rPr>
      <w:rFonts w:ascii="Verdana" w:hAnsi="Verdana"/>
      <w:lang w:val="fr-BE" w:eastAsia="en-GB"/>
    </w:rPr>
  </w:style>
  <w:style w:type="paragraph" w:styleId="Lijstalinea">
    <w:name w:val="List Paragraph"/>
    <w:basedOn w:val="Standaard"/>
    <w:uiPriority w:val="34"/>
    <w:qFormat/>
    <w:rsid w:val="00905346"/>
    <w:pPr>
      <w:ind w:left="720"/>
      <w:contextualSpacing/>
      <w:jc w:val="left"/>
    </w:pPr>
    <w:rPr>
      <w:szCs w:val="24"/>
      <w:lang w:val="nl-NL" w:eastAsia="nl-NL"/>
    </w:rPr>
  </w:style>
  <w:style w:type="table" w:customStyle="1" w:styleId="TableGrid">
    <w:name w:val="TableGrid"/>
    <w:rsid w:val="0017642B"/>
    <w:rPr>
      <w:rFonts w:ascii="Calibri" w:hAnsi="Calibri"/>
      <w:sz w:val="22"/>
      <w:szCs w:val="22"/>
      <w:lang w:val="fr-BE" w:eastAsia="fr-BE"/>
    </w:rPr>
    <w:tblPr>
      <w:tblCellMar>
        <w:top w:w="0" w:type="dxa"/>
        <w:left w:w="0" w:type="dxa"/>
        <w:bottom w:w="0" w:type="dxa"/>
        <w:right w:w="0" w:type="dxa"/>
      </w:tblCellMar>
    </w:tblPr>
  </w:style>
  <w:style w:type="character" w:customStyle="1" w:styleId="VoetnoottekstChar">
    <w:name w:val="Voetnoottekst Char"/>
    <w:link w:val="Voetnoottekst"/>
    <w:semiHidden/>
    <w:rsid w:val="00E73CFD"/>
    <w:rPr>
      <w:rFonts w:ascii="Verdana" w:hAnsi="Verdana"/>
      <w:lang w:eastAsia="en-GB"/>
    </w:rPr>
  </w:style>
  <w:style w:type="character" w:customStyle="1" w:styleId="Kop3Char">
    <w:name w:val="Kop 3 Char"/>
    <w:link w:val="Kop3"/>
    <w:rsid w:val="0082047E"/>
    <w:rPr>
      <w:rFonts w:ascii="Verdana" w:hAnsi="Verdana"/>
      <w:sz w:val="24"/>
      <w:szCs w:val="24"/>
      <w:lang w:eastAsia="en-GB"/>
    </w:rPr>
  </w:style>
  <w:style w:type="character" w:customStyle="1" w:styleId="Kop4Char">
    <w:name w:val="Kop 4 Char"/>
    <w:link w:val="Kop4"/>
    <w:rsid w:val="0082047E"/>
    <w:rPr>
      <w:rFonts w:ascii="Verdana" w:hAnsi="Verdana"/>
      <w:b/>
      <w:lang w:eastAsia="en-GB"/>
    </w:rPr>
  </w:style>
  <w:style w:type="character" w:styleId="Onopgelostemelding">
    <w:name w:val="Unresolved Mention"/>
    <w:uiPriority w:val="99"/>
    <w:semiHidden/>
    <w:unhideWhenUsed/>
    <w:rsid w:val="00971A21"/>
    <w:rPr>
      <w:color w:val="605E5C"/>
      <w:shd w:val="clear" w:color="auto" w:fill="E1DFDD"/>
    </w:rPr>
  </w:style>
  <w:style w:type="character" w:customStyle="1" w:styleId="KoptekstChar">
    <w:name w:val="Koptekst Char"/>
    <w:link w:val="Koptekst"/>
    <w:uiPriority w:val="99"/>
    <w:rsid w:val="00F12CCF"/>
    <w:rPr>
      <w:rFonts w:ascii="Verdana" w:hAnsi="Verdana"/>
      <w:lang w:eastAsia="en-GB"/>
    </w:rPr>
  </w:style>
  <w:style w:type="character" w:customStyle="1" w:styleId="VoettekstChar">
    <w:name w:val="Voettekst Char"/>
    <w:link w:val="Voettekst"/>
    <w:uiPriority w:val="99"/>
    <w:rsid w:val="00F12CCF"/>
    <w:rPr>
      <w:rFonts w:ascii="Verdana" w:hAnsi="Verdana"/>
      <w:lang w:eastAsia="en-GB"/>
    </w:rPr>
  </w:style>
  <w:style w:type="character" w:customStyle="1" w:styleId="BallontekstChar">
    <w:name w:val="Ballontekst Char"/>
    <w:link w:val="Ballontekst"/>
    <w:uiPriority w:val="99"/>
    <w:semiHidden/>
    <w:rsid w:val="00F12CCF"/>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4585">
      <w:bodyDiv w:val="1"/>
      <w:marLeft w:val="0"/>
      <w:marRight w:val="0"/>
      <w:marTop w:val="0"/>
      <w:marBottom w:val="0"/>
      <w:divBdr>
        <w:top w:val="none" w:sz="0" w:space="0" w:color="auto"/>
        <w:left w:val="none" w:sz="0" w:space="0" w:color="auto"/>
        <w:bottom w:val="none" w:sz="0" w:space="0" w:color="auto"/>
        <w:right w:val="none" w:sz="0" w:space="0" w:color="auto"/>
      </w:divBdr>
    </w:div>
    <w:div w:id="401681048">
      <w:bodyDiv w:val="1"/>
      <w:marLeft w:val="0"/>
      <w:marRight w:val="0"/>
      <w:marTop w:val="0"/>
      <w:marBottom w:val="0"/>
      <w:divBdr>
        <w:top w:val="none" w:sz="0" w:space="0" w:color="auto"/>
        <w:left w:val="none" w:sz="0" w:space="0" w:color="auto"/>
        <w:bottom w:val="none" w:sz="0" w:space="0" w:color="auto"/>
        <w:right w:val="none" w:sz="0" w:space="0" w:color="auto"/>
      </w:divBdr>
    </w:div>
    <w:div w:id="493305399">
      <w:bodyDiv w:val="1"/>
      <w:marLeft w:val="0"/>
      <w:marRight w:val="0"/>
      <w:marTop w:val="0"/>
      <w:marBottom w:val="0"/>
      <w:divBdr>
        <w:top w:val="none" w:sz="0" w:space="0" w:color="auto"/>
        <w:left w:val="none" w:sz="0" w:space="0" w:color="auto"/>
        <w:bottom w:val="none" w:sz="0" w:space="0" w:color="auto"/>
        <w:right w:val="none" w:sz="0" w:space="0" w:color="auto"/>
      </w:divBdr>
    </w:div>
    <w:div w:id="1031151472">
      <w:bodyDiv w:val="1"/>
      <w:marLeft w:val="0"/>
      <w:marRight w:val="0"/>
      <w:marTop w:val="0"/>
      <w:marBottom w:val="0"/>
      <w:divBdr>
        <w:top w:val="none" w:sz="0" w:space="0" w:color="auto"/>
        <w:left w:val="none" w:sz="0" w:space="0" w:color="auto"/>
        <w:bottom w:val="none" w:sz="0" w:space="0" w:color="auto"/>
        <w:right w:val="none" w:sz="0" w:space="0" w:color="auto"/>
      </w:divBdr>
    </w:div>
    <w:div w:id="1285428146">
      <w:bodyDiv w:val="1"/>
      <w:marLeft w:val="0"/>
      <w:marRight w:val="0"/>
      <w:marTop w:val="0"/>
      <w:marBottom w:val="0"/>
      <w:divBdr>
        <w:top w:val="none" w:sz="0" w:space="0" w:color="auto"/>
        <w:left w:val="none" w:sz="0" w:space="0" w:color="auto"/>
        <w:bottom w:val="none" w:sz="0" w:space="0" w:color="auto"/>
        <w:right w:val="none" w:sz="0" w:space="0" w:color="auto"/>
      </w:divBdr>
    </w:div>
    <w:div w:id="162307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www.ejustice.just.fgov.be/cgi_loi/change_lg.pl?language=fr&amp;la=F&amp;cn=2016041205&amp;table_name=loi" TargetMode="External"/><Relationship Id="rId39" Type="http://schemas.openxmlformats.org/officeDocument/2006/relationships/hyperlink" Target="http://www.ejustice.just.fgov.be/eli/besluit/1995/06/01/1995035883/justel"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4.xml"/><Relationship Id="rId42" Type="http://schemas.openxmlformats.org/officeDocument/2006/relationships/hyperlink" Target="https://unece.org/about-adr" TargetMode="External"/><Relationship Id="rId47" Type="http://schemas.openxmlformats.org/officeDocument/2006/relationships/hyperlink" Target="https://echa.europa.eu/fr/guidance-documents/guidance-on-clp"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mploi.belgique.be" TargetMode="External"/><Relationship Id="rId25" Type="http://schemas.openxmlformats.org/officeDocument/2006/relationships/image" Target="media/image6.emf"/><Relationship Id="rId33" Type="http://schemas.openxmlformats.org/officeDocument/2006/relationships/footer" Target="footer4.xml"/><Relationship Id="rId38" Type="http://schemas.openxmlformats.org/officeDocument/2006/relationships/hyperlink" Target="http://www.ejustice.just.fgov.be/eli/arrete/1958/09/23/1958092304/justel" TargetMode="External"/><Relationship Id="rId46" Type="http://schemas.openxmlformats.org/officeDocument/2006/relationships/hyperlink" Target="https://eur-lex.europa.eu/legal-content/FR/LSU/?uri=celex%3A32008R1272" TargetMode="External"/><Relationship Id="rId2" Type="http://schemas.openxmlformats.org/officeDocument/2006/relationships/customXml" Target="../customXml/item2.xml"/><Relationship Id="rId16" Type="http://schemas.openxmlformats.org/officeDocument/2006/relationships/hyperlink" Target="mailto:CRC@emploi.belgique.be" TargetMode="External"/><Relationship Id="rId20" Type="http://schemas.openxmlformats.org/officeDocument/2006/relationships/image" Target="media/image2.jpeg"/><Relationship Id="rId29" Type="http://schemas.openxmlformats.org/officeDocument/2006/relationships/image" Target="media/image9.emf"/><Relationship Id="rId41" Type="http://schemas.openxmlformats.org/officeDocument/2006/relationships/hyperlink" Target="http://www.ejustice.just.fgov.be/eli/arrete/2009/04/26/2009011157/just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https://www.provost.fr/17967-thickbox_default/pictogramme-danger-explosif-sgh01.jpg" TargetMode="External"/><Relationship Id="rId32" Type="http://schemas.openxmlformats.org/officeDocument/2006/relationships/image" Target="media/image12.png"/><Relationship Id="rId37" Type="http://schemas.openxmlformats.org/officeDocument/2006/relationships/hyperlink" Target="http://www.ejustice.just.fgov.be/eli/arrete/2019/05/22/2019013001/justel" TargetMode="External"/><Relationship Id="rId40" Type="http://schemas.openxmlformats.org/officeDocument/2006/relationships/hyperlink" Target="http://www.ejustice.just.fgov.be/eli/arrete/2016/04/12/2016011133/justel" TargetMode="External"/><Relationship Id="rId45" Type="http://schemas.openxmlformats.org/officeDocument/2006/relationships/hyperlink" Target="https://www.sfepa.com/guide-des-bonnes-pratiqu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8.emf"/><Relationship Id="rId36" Type="http://schemas.openxmlformats.org/officeDocument/2006/relationships/hyperlink" Target="http://www.ejustice.just.fgov.be/eli/loi/2017/04/28/2017A10461/juste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hyperlink" Target="https://www.vlaanderen.be/vervoer-van-gevaarlijke-goederen-over-de-weg-adr/regelgeving-adr#het-adr-2019-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yperlink" Target="https://unece.org/transportdangerous-goods/adr-2021-files" TargetMode="External"/><Relationship Id="rId48" Type="http://schemas.openxmlformats.org/officeDocument/2006/relationships/header" Target="header6.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9AFB63BC6354986BEB252326EC632" ma:contentTypeVersion="13" ma:contentTypeDescription="Create a new document." ma:contentTypeScope="" ma:versionID="5351dfbf3e8cce15fb8a2fd8fc587b06">
  <xsd:schema xmlns:xsd="http://www.w3.org/2001/XMLSchema" xmlns:xs="http://www.w3.org/2001/XMLSchema" xmlns:p="http://schemas.microsoft.com/office/2006/metadata/properties" xmlns:ns3="5eef0484-6baf-4ca6-90d5-4c3ed67a074f" xmlns:ns4="5edf7703-cdbb-45cb-b285-2ba9977ca7b4" targetNamespace="http://schemas.microsoft.com/office/2006/metadata/properties" ma:root="true" ma:fieldsID="48db136a918de4ccdcf1be836d9c4df5" ns3:_="" ns4:_="">
    <xsd:import namespace="5eef0484-6baf-4ca6-90d5-4c3ed67a074f"/>
    <xsd:import namespace="5edf7703-cdbb-45cb-b285-2ba9977ca7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f0484-6baf-4ca6-90d5-4c3ed67a0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f7703-cdbb-45cb-b285-2ba9977ca7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65D9D-2F38-473A-A464-EAC8B98A2BE3}">
  <ds:schemaRefs>
    <ds:schemaRef ds:uri="http://schemas.microsoft.com/sharepoint/v3/contenttype/forms"/>
  </ds:schemaRefs>
</ds:datastoreItem>
</file>

<file path=customXml/itemProps2.xml><?xml version="1.0" encoding="utf-8"?>
<ds:datastoreItem xmlns:ds="http://schemas.openxmlformats.org/officeDocument/2006/customXml" ds:itemID="{5C5695AA-7B3C-42D9-86D8-CAB2D7951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f0484-6baf-4ca6-90d5-4c3ed67a074f"/>
    <ds:schemaRef ds:uri="5edf7703-cdbb-45cb-b285-2ba9977c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99CFC3-BA96-444B-9B54-9EDFD01169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6DA2CB-E655-4FEF-862E-AB6F9C89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16707</Words>
  <Characters>91892</Characters>
  <Application>Microsoft Office Word</Application>
  <DocSecurity>0</DocSecurity>
  <Lines>765</Lines>
  <Paragraphs>216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1</vt:lpstr>
      <vt:lpstr>1</vt:lpstr>
    </vt:vector>
  </TitlesOfParts>
  <Company>SPF/FOD ECO</Company>
  <LinksUpToDate>false</LinksUpToDate>
  <CharactersWithSpaces>108383</CharactersWithSpaces>
  <SharedDoc>false</SharedDoc>
  <HLinks>
    <vt:vector size="252" baseType="variant">
      <vt:variant>
        <vt:i4>5701649</vt:i4>
      </vt:variant>
      <vt:variant>
        <vt:i4>183</vt:i4>
      </vt:variant>
      <vt:variant>
        <vt:i4>0</vt:i4>
      </vt:variant>
      <vt:variant>
        <vt:i4>5</vt:i4>
      </vt:variant>
      <vt:variant>
        <vt:lpwstr>https://echa.europa.eu/fr/guidance-documents/guidance-on-clp</vt:lpwstr>
      </vt:variant>
      <vt:variant>
        <vt:lpwstr/>
      </vt:variant>
      <vt:variant>
        <vt:i4>7274612</vt:i4>
      </vt:variant>
      <vt:variant>
        <vt:i4>180</vt:i4>
      </vt:variant>
      <vt:variant>
        <vt:i4>0</vt:i4>
      </vt:variant>
      <vt:variant>
        <vt:i4>5</vt:i4>
      </vt:variant>
      <vt:variant>
        <vt:lpwstr>https://eur-lex.europa.eu/legal-content/FR/LSU/?uri=celex%3A32008R1272</vt:lpwstr>
      </vt:variant>
      <vt:variant>
        <vt:lpwstr/>
      </vt:variant>
      <vt:variant>
        <vt:i4>7733335</vt:i4>
      </vt:variant>
      <vt:variant>
        <vt:i4>177</vt:i4>
      </vt:variant>
      <vt:variant>
        <vt:i4>0</vt:i4>
      </vt:variant>
      <vt:variant>
        <vt:i4>5</vt:i4>
      </vt:variant>
      <vt:variant>
        <vt:lpwstr>https://unece.org/DAM/trans/danger/publi/manual/Rev4/French/01F_intro.pdf</vt:lpwstr>
      </vt:variant>
      <vt:variant>
        <vt:lpwstr/>
      </vt:variant>
      <vt:variant>
        <vt:i4>4718611</vt:i4>
      </vt:variant>
      <vt:variant>
        <vt:i4>174</vt:i4>
      </vt:variant>
      <vt:variant>
        <vt:i4>0</vt:i4>
      </vt:variant>
      <vt:variant>
        <vt:i4>5</vt:i4>
      </vt:variant>
      <vt:variant>
        <vt:lpwstr>https://www.sfepa.com/guide-des-bonnes-pratiques/</vt:lpwstr>
      </vt:variant>
      <vt:variant>
        <vt:lpwstr/>
      </vt:variant>
      <vt:variant>
        <vt:i4>3473463</vt:i4>
      </vt:variant>
      <vt:variant>
        <vt:i4>171</vt:i4>
      </vt:variant>
      <vt:variant>
        <vt:i4>0</vt:i4>
      </vt:variant>
      <vt:variant>
        <vt:i4>5</vt:i4>
      </vt:variant>
      <vt:variant>
        <vt:lpwstr>https://unsaferguard.org/un-saferguard/guide-lines</vt:lpwstr>
      </vt:variant>
      <vt:variant>
        <vt:lpwstr/>
      </vt:variant>
      <vt:variant>
        <vt:i4>4259932</vt:i4>
      </vt:variant>
      <vt:variant>
        <vt:i4>168</vt:i4>
      </vt:variant>
      <vt:variant>
        <vt:i4>0</vt:i4>
      </vt:variant>
      <vt:variant>
        <vt:i4>5</vt:i4>
      </vt:variant>
      <vt:variant>
        <vt:lpwstr>https://www.ixarm.com/fr/node/844688</vt:lpwstr>
      </vt:variant>
      <vt:variant>
        <vt:lpwstr/>
      </vt:variant>
      <vt:variant>
        <vt:i4>6357030</vt:i4>
      </vt:variant>
      <vt:variant>
        <vt:i4>165</vt:i4>
      </vt:variant>
      <vt:variant>
        <vt:i4>0</vt:i4>
      </vt:variant>
      <vt:variant>
        <vt:i4>5</vt:i4>
      </vt:variant>
      <vt:variant>
        <vt:lpwstr>https://www.vlaanderen.be/vervoer-van-gevaarlijke-goederen-over-de-weg-adr/regelgeving-adr</vt:lpwstr>
      </vt:variant>
      <vt:variant>
        <vt:lpwstr>het-adr-2019-2021</vt:lpwstr>
      </vt:variant>
      <vt:variant>
        <vt:i4>4915210</vt:i4>
      </vt:variant>
      <vt:variant>
        <vt:i4>162</vt:i4>
      </vt:variant>
      <vt:variant>
        <vt:i4>0</vt:i4>
      </vt:variant>
      <vt:variant>
        <vt:i4>5</vt:i4>
      </vt:variant>
      <vt:variant>
        <vt:lpwstr>https://unece.org/transportdangerous-goods/adr-2021-files</vt:lpwstr>
      </vt:variant>
      <vt:variant>
        <vt:lpwstr/>
      </vt:variant>
      <vt:variant>
        <vt:i4>3211302</vt:i4>
      </vt:variant>
      <vt:variant>
        <vt:i4>159</vt:i4>
      </vt:variant>
      <vt:variant>
        <vt:i4>0</vt:i4>
      </vt:variant>
      <vt:variant>
        <vt:i4>5</vt:i4>
      </vt:variant>
      <vt:variant>
        <vt:lpwstr>https://unece.org/about-adr</vt:lpwstr>
      </vt:variant>
      <vt:variant>
        <vt:lpwstr/>
      </vt:variant>
      <vt:variant>
        <vt:i4>6226002</vt:i4>
      </vt:variant>
      <vt:variant>
        <vt:i4>156</vt:i4>
      </vt:variant>
      <vt:variant>
        <vt:i4>0</vt:i4>
      </vt:variant>
      <vt:variant>
        <vt:i4>5</vt:i4>
      </vt:variant>
      <vt:variant>
        <vt:lpwstr>http://www.ejustice.just.fgov.be/eli/arrete/2015/10/20/2015011410/justel</vt:lpwstr>
      </vt:variant>
      <vt:variant>
        <vt:lpwstr/>
      </vt:variant>
      <vt:variant>
        <vt:i4>5308505</vt:i4>
      </vt:variant>
      <vt:variant>
        <vt:i4>153</vt:i4>
      </vt:variant>
      <vt:variant>
        <vt:i4>0</vt:i4>
      </vt:variant>
      <vt:variant>
        <vt:i4>5</vt:i4>
      </vt:variant>
      <vt:variant>
        <vt:lpwstr>http://www.ejustice.just.fgov.be/eli/arrete/2009/04/26/2009011157/justel</vt:lpwstr>
      </vt:variant>
      <vt:variant>
        <vt:lpwstr/>
      </vt:variant>
      <vt:variant>
        <vt:i4>6094928</vt:i4>
      </vt:variant>
      <vt:variant>
        <vt:i4>150</vt:i4>
      </vt:variant>
      <vt:variant>
        <vt:i4>0</vt:i4>
      </vt:variant>
      <vt:variant>
        <vt:i4>5</vt:i4>
      </vt:variant>
      <vt:variant>
        <vt:lpwstr>http://www.ejustice.just.fgov.be/eli/arrete/2016/04/12/2016011133/justel</vt:lpwstr>
      </vt:variant>
      <vt:variant>
        <vt:lpwstr/>
      </vt:variant>
      <vt:variant>
        <vt:i4>6619176</vt:i4>
      </vt:variant>
      <vt:variant>
        <vt:i4>147</vt:i4>
      </vt:variant>
      <vt:variant>
        <vt:i4>0</vt:i4>
      </vt:variant>
      <vt:variant>
        <vt:i4>5</vt:i4>
      </vt:variant>
      <vt:variant>
        <vt:lpwstr>https://economie.fgov.be/fr/publications/reglement-general-sur-les</vt:lpwstr>
      </vt:variant>
      <vt:variant>
        <vt:lpwstr/>
      </vt:variant>
      <vt:variant>
        <vt:i4>5832784</vt:i4>
      </vt:variant>
      <vt:variant>
        <vt:i4>144</vt:i4>
      </vt:variant>
      <vt:variant>
        <vt:i4>0</vt:i4>
      </vt:variant>
      <vt:variant>
        <vt:i4>5</vt:i4>
      </vt:variant>
      <vt:variant>
        <vt:lpwstr>http://www.ejustice.just.fgov.be/eli/ordonnance/1997/06/05/1997031238/justel</vt:lpwstr>
      </vt:variant>
      <vt:variant>
        <vt:lpwstr/>
      </vt:variant>
      <vt:variant>
        <vt:i4>5242951</vt:i4>
      </vt:variant>
      <vt:variant>
        <vt:i4>141</vt:i4>
      </vt:variant>
      <vt:variant>
        <vt:i4>0</vt:i4>
      </vt:variant>
      <vt:variant>
        <vt:i4>5</vt:i4>
      </vt:variant>
      <vt:variant>
        <vt:lpwstr>http://www.ejustice.just.fgov.be/eli/decret/1999/03/11/1999027439/justel</vt:lpwstr>
      </vt:variant>
      <vt:variant>
        <vt:lpwstr/>
      </vt:variant>
      <vt:variant>
        <vt:i4>1441810</vt:i4>
      </vt:variant>
      <vt:variant>
        <vt:i4>138</vt:i4>
      </vt:variant>
      <vt:variant>
        <vt:i4>0</vt:i4>
      </vt:variant>
      <vt:variant>
        <vt:i4>5</vt:i4>
      </vt:variant>
      <vt:variant>
        <vt:lpwstr>http://www.ejustice.just.fgov.be/eli/besluit/2015/11/27/2016035143/justel</vt:lpwstr>
      </vt:variant>
      <vt:variant>
        <vt:lpwstr/>
      </vt:variant>
      <vt:variant>
        <vt:i4>1769499</vt:i4>
      </vt:variant>
      <vt:variant>
        <vt:i4>135</vt:i4>
      </vt:variant>
      <vt:variant>
        <vt:i4>0</vt:i4>
      </vt:variant>
      <vt:variant>
        <vt:i4>5</vt:i4>
      </vt:variant>
      <vt:variant>
        <vt:lpwstr>http://www.ejustice.just.fgov.be/eli/besluit/1995/06/01/1995035883/justel</vt:lpwstr>
      </vt:variant>
      <vt:variant>
        <vt:lpwstr/>
      </vt:variant>
      <vt:variant>
        <vt:i4>6029395</vt:i4>
      </vt:variant>
      <vt:variant>
        <vt:i4>132</vt:i4>
      </vt:variant>
      <vt:variant>
        <vt:i4>0</vt:i4>
      </vt:variant>
      <vt:variant>
        <vt:i4>5</vt:i4>
      </vt:variant>
      <vt:variant>
        <vt:lpwstr>http://www.ejustice.just.fgov.be/eli/arrete/1958/09/23/1958092304/justel</vt:lpwstr>
      </vt:variant>
      <vt:variant>
        <vt:lpwstr/>
      </vt:variant>
      <vt:variant>
        <vt:i4>5439582</vt:i4>
      </vt:variant>
      <vt:variant>
        <vt:i4>129</vt:i4>
      </vt:variant>
      <vt:variant>
        <vt:i4>0</vt:i4>
      </vt:variant>
      <vt:variant>
        <vt:i4>5</vt:i4>
      </vt:variant>
      <vt:variant>
        <vt:lpwstr>http://www.ejustice.just.fgov.be/eli/arrete/2019/05/22/2019013001/justel</vt:lpwstr>
      </vt:variant>
      <vt:variant>
        <vt:lpwstr/>
      </vt:variant>
      <vt:variant>
        <vt:i4>131143</vt:i4>
      </vt:variant>
      <vt:variant>
        <vt:i4>126</vt:i4>
      </vt:variant>
      <vt:variant>
        <vt:i4>0</vt:i4>
      </vt:variant>
      <vt:variant>
        <vt:i4>5</vt:i4>
      </vt:variant>
      <vt:variant>
        <vt:lpwstr>http://www.ejustice.just.fgov.be/eli/loi/2017/04/28/2017A10461/justel</vt:lpwstr>
      </vt:variant>
      <vt:variant>
        <vt:lpwstr/>
      </vt:variant>
      <vt:variant>
        <vt:i4>7143447</vt:i4>
      </vt:variant>
      <vt:variant>
        <vt:i4>123</vt:i4>
      </vt:variant>
      <vt:variant>
        <vt:i4>0</vt:i4>
      </vt:variant>
      <vt:variant>
        <vt:i4>5</vt:i4>
      </vt:variant>
      <vt:variant>
        <vt:lpwstr>http://seveso/documents/Informatie/Wetgeving/Wet_Loi_20160401_SWA-ADC.pdf</vt:lpwstr>
      </vt:variant>
      <vt:variant>
        <vt:lpwstr/>
      </vt:variant>
      <vt:variant>
        <vt:i4>5242995</vt:i4>
      </vt:variant>
      <vt:variant>
        <vt:i4>120</vt:i4>
      </vt:variant>
      <vt:variant>
        <vt:i4>0</vt:i4>
      </vt:variant>
      <vt:variant>
        <vt:i4>5</vt:i4>
      </vt:variant>
      <vt:variant>
        <vt:lpwstr>http://www.ejustice.just.fgov.be/cgi_loi/change_lg.pl?language=fr&amp;la=F&amp;cn=2016041205&amp;table_name=loi</vt:lpwstr>
      </vt:variant>
      <vt:variant>
        <vt:lpwstr/>
      </vt:variant>
      <vt:variant>
        <vt:i4>1572920</vt:i4>
      </vt:variant>
      <vt:variant>
        <vt:i4>110</vt:i4>
      </vt:variant>
      <vt:variant>
        <vt:i4>0</vt:i4>
      </vt:variant>
      <vt:variant>
        <vt:i4>5</vt:i4>
      </vt:variant>
      <vt:variant>
        <vt:lpwstr/>
      </vt:variant>
      <vt:variant>
        <vt:lpwstr>_Toc66895232</vt:lpwstr>
      </vt:variant>
      <vt:variant>
        <vt:i4>1769528</vt:i4>
      </vt:variant>
      <vt:variant>
        <vt:i4>104</vt:i4>
      </vt:variant>
      <vt:variant>
        <vt:i4>0</vt:i4>
      </vt:variant>
      <vt:variant>
        <vt:i4>5</vt:i4>
      </vt:variant>
      <vt:variant>
        <vt:lpwstr/>
      </vt:variant>
      <vt:variant>
        <vt:lpwstr>_Toc66895231</vt:lpwstr>
      </vt:variant>
      <vt:variant>
        <vt:i4>1703992</vt:i4>
      </vt:variant>
      <vt:variant>
        <vt:i4>98</vt:i4>
      </vt:variant>
      <vt:variant>
        <vt:i4>0</vt:i4>
      </vt:variant>
      <vt:variant>
        <vt:i4>5</vt:i4>
      </vt:variant>
      <vt:variant>
        <vt:lpwstr/>
      </vt:variant>
      <vt:variant>
        <vt:lpwstr>_Toc66895230</vt:lpwstr>
      </vt:variant>
      <vt:variant>
        <vt:i4>1245241</vt:i4>
      </vt:variant>
      <vt:variant>
        <vt:i4>92</vt:i4>
      </vt:variant>
      <vt:variant>
        <vt:i4>0</vt:i4>
      </vt:variant>
      <vt:variant>
        <vt:i4>5</vt:i4>
      </vt:variant>
      <vt:variant>
        <vt:lpwstr/>
      </vt:variant>
      <vt:variant>
        <vt:lpwstr>_Toc66895229</vt:lpwstr>
      </vt:variant>
      <vt:variant>
        <vt:i4>1179705</vt:i4>
      </vt:variant>
      <vt:variant>
        <vt:i4>86</vt:i4>
      </vt:variant>
      <vt:variant>
        <vt:i4>0</vt:i4>
      </vt:variant>
      <vt:variant>
        <vt:i4>5</vt:i4>
      </vt:variant>
      <vt:variant>
        <vt:lpwstr/>
      </vt:variant>
      <vt:variant>
        <vt:lpwstr>_Toc66895228</vt:lpwstr>
      </vt:variant>
      <vt:variant>
        <vt:i4>1900601</vt:i4>
      </vt:variant>
      <vt:variant>
        <vt:i4>80</vt:i4>
      </vt:variant>
      <vt:variant>
        <vt:i4>0</vt:i4>
      </vt:variant>
      <vt:variant>
        <vt:i4>5</vt:i4>
      </vt:variant>
      <vt:variant>
        <vt:lpwstr/>
      </vt:variant>
      <vt:variant>
        <vt:lpwstr>_Toc66895227</vt:lpwstr>
      </vt:variant>
      <vt:variant>
        <vt:i4>1835065</vt:i4>
      </vt:variant>
      <vt:variant>
        <vt:i4>74</vt:i4>
      </vt:variant>
      <vt:variant>
        <vt:i4>0</vt:i4>
      </vt:variant>
      <vt:variant>
        <vt:i4>5</vt:i4>
      </vt:variant>
      <vt:variant>
        <vt:lpwstr/>
      </vt:variant>
      <vt:variant>
        <vt:lpwstr>_Toc66895226</vt:lpwstr>
      </vt:variant>
      <vt:variant>
        <vt:i4>2031673</vt:i4>
      </vt:variant>
      <vt:variant>
        <vt:i4>68</vt:i4>
      </vt:variant>
      <vt:variant>
        <vt:i4>0</vt:i4>
      </vt:variant>
      <vt:variant>
        <vt:i4>5</vt:i4>
      </vt:variant>
      <vt:variant>
        <vt:lpwstr/>
      </vt:variant>
      <vt:variant>
        <vt:lpwstr>_Toc66895225</vt:lpwstr>
      </vt:variant>
      <vt:variant>
        <vt:i4>1966137</vt:i4>
      </vt:variant>
      <vt:variant>
        <vt:i4>62</vt:i4>
      </vt:variant>
      <vt:variant>
        <vt:i4>0</vt:i4>
      </vt:variant>
      <vt:variant>
        <vt:i4>5</vt:i4>
      </vt:variant>
      <vt:variant>
        <vt:lpwstr/>
      </vt:variant>
      <vt:variant>
        <vt:lpwstr>_Toc66895224</vt:lpwstr>
      </vt:variant>
      <vt:variant>
        <vt:i4>1638457</vt:i4>
      </vt:variant>
      <vt:variant>
        <vt:i4>56</vt:i4>
      </vt:variant>
      <vt:variant>
        <vt:i4>0</vt:i4>
      </vt:variant>
      <vt:variant>
        <vt:i4>5</vt:i4>
      </vt:variant>
      <vt:variant>
        <vt:lpwstr/>
      </vt:variant>
      <vt:variant>
        <vt:lpwstr>_Toc66895223</vt:lpwstr>
      </vt:variant>
      <vt:variant>
        <vt:i4>1572921</vt:i4>
      </vt:variant>
      <vt:variant>
        <vt:i4>50</vt:i4>
      </vt:variant>
      <vt:variant>
        <vt:i4>0</vt:i4>
      </vt:variant>
      <vt:variant>
        <vt:i4>5</vt:i4>
      </vt:variant>
      <vt:variant>
        <vt:lpwstr/>
      </vt:variant>
      <vt:variant>
        <vt:lpwstr>_Toc66895222</vt:lpwstr>
      </vt:variant>
      <vt:variant>
        <vt:i4>1769529</vt:i4>
      </vt:variant>
      <vt:variant>
        <vt:i4>44</vt:i4>
      </vt:variant>
      <vt:variant>
        <vt:i4>0</vt:i4>
      </vt:variant>
      <vt:variant>
        <vt:i4>5</vt:i4>
      </vt:variant>
      <vt:variant>
        <vt:lpwstr/>
      </vt:variant>
      <vt:variant>
        <vt:lpwstr>_Toc66895221</vt:lpwstr>
      </vt:variant>
      <vt:variant>
        <vt:i4>1703993</vt:i4>
      </vt:variant>
      <vt:variant>
        <vt:i4>38</vt:i4>
      </vt:variant>
      <vt:variant>
        <vt:i4>0</vt:i4>
      </vt:variant>
      <vt:variant>
        <vt:i4>5</vt:i4>
      </vt:variant>
      <vt:variant>
        <vt:lpwstr/>
      </vt:variant>
      <vt:variant>
        <vt:lpwstr>_Toc66895220</vt:lpwstr>
      </vt:variant>
      <vt:variant>
        <vt:i4>1245242</vt:i4>
      </vt:variant>
      <vt:variant>
        <vt:i4>32</vt:i4>
      </vt:variant>
      <vt:variant>
        <vt:i4>0</vt:i4>
      </vt:variant>
      <vt:variant>
        <vt:i4>5</vt:i4>
      </vt:variant>
      <vt:variant>
        <vt:lpwstr/>
      </vt:variant>
      <vt:variant>
        <vt:lpwstr>_Toc66895219</vt:lpwstr>
      </vt:variant>
      <vt:variant>
        <vt:i4>1179706</vt:i4>
      </vt:variant>
      <vt:variant>
        <vt:i4>26</vt:i4>
      </vt:variant>
      <vt:variant>
        <vt:i4>0</vt:i4>
      </vt:variant>
      <vt:variant>
        <vt:i4>5</vt:i4>
      </vt:variant>
      <vt:variant>
        <vt:lpwstr/>
      </vt:variant>
      <vt:variant>
        <vt:lpwstr>_Toc66895218</vt:lpwstr>
      </vt:variant>
      <vt:variant>
        <vt:i4>1900602</vt:i4>
      </vt:variant>
      <vt:variant>
        <vt:i4>20</vt:i4>
      </vt:variant>
      <vt:variant>
        <vt:i4>0</vt:i4>
      </vt:variant>
      <vt:variant>
        <vt:i4>5</vt:i4>
      </vt:variant>
      <vt:variant>
        <vt:lpwstr/>
      </vt:variant>
      <vt:variant>
        <vt:lpwstr>_Toc66895217</vt:lpwstr>
      </vt:variant>
      <vt:variant>
        <vt:i4>1835066</vt:i4>
      </vt:variant>
      <vt:variant>
        <vt:i4>14</vt:i4>
      </vt:variant>
      <vt:variant>
        <vt:i4>0</vt:i4>
      </vt:variant>
      <vt:variant>
        <vt:i4>5</vt:i4>
      </vt:variant>
      <vt:variant>
        <vt:lpwstr/>
      </vt:variant>
      <vt:variant>
        <vt:lpwstr>_Toc66895216</vt:lpwstr>
      </vt:variant>
      <vt:variant>
        <vt:i4>2031674</vt:i4>
      </vt:variant>
      <vt:variant>
        <vt:i4>8</vt:i4>
      </vt:variant>
      <vt:variant>
        <vt:i4>0</vt:i4>
      </vt:variant>
      <vt:variant>
        <vt:i4>5</vt:i4>
      </vt:variant>
      <vt:variant>
        <vt:lpwstr/>
      </vt:variant>
      <vt:variant>
        <vt:lpwstr>_Toc66895215</vt:lpwstr>
      </vt:variant>
      <vt:variant>
        <vt:i4>2359393</vt:i4>
      </vt:variant>
      <vt:variant>
        <vt:i4>3</vt:i4>
      </vt:variant>
      <vt:variant>
        <vt:i4>0</vt:i4>
      </vt:variant>
      <vt:variant>
        <vt:i4>5</vt:i4>
      </vt:variant>
      <vt:variant>
        <vt:lpwstr>http://www.emploi.belgique.be/</vt:lpwstr>
      </vt:variant>
      <vt:variant>
        <vt:lpwstr/>
      </vt:variant>
      <vt:variant>
        <vt:i4>4325420</vt:i4>
      </vt:variant>
      <vt:variant>
        <vt:i4>0</vt:i4>
      </vt:variant>
      <vt:variant>
        <vt:i4>0</vt:i4>
      </vt:variant>
      <vt:variant>
        <vt:i4>5</vt:i4>
      </vt:variant>
      <vt:variant>
        <vt:lpwstr>mailto:CRC@emploi.belgique.be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Outil 'inspection Stockage d'explosibles</dc:title>
  <dc:subject/>
  <dc:creator>Isabelle.RASE@meta.fgov.be</dc:creator>
  <cp:keywords/>
  <dc:description/>
  <cp:lastModifiedBy>Koen Biermans (FOD Werkgelegenheid - SPF Emploi)</cp:lastModifiedBy>
  <cp:revision>2</cp:revision>
  <cp:lastPrinted>2019-11-25T08:02:00Z</cp:lastPrinted>
  <dcterms:created xsi:type="dcterms:W3CDTF">2021-03-19T12:29:00Z</dcterms:created>
  <dcterms:modified xsi:type="dcterms:W3CDTF">2021-03-19T12:29:00Z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michele.musick@spw.wallonie.be</vt:lpwstr>
  </property>
  <property fmtid="{D5CDD505-2E9C-101B-9397-08002B2CF9AE}" pid="5" name="MSIP_Label_97a477d1-147d-4e34-b5e3-7b26d2f44870_SetDate">
    <vt:lpwstr>2020-07-22T12:22:45.6434049Z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53bb4903-d416-42d6-bc9b-5bf912297a7e</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y fmtid="{D5CDD505-2E9C-101B-9397-08002B2CF9AE}" pid="11" name="ContentTypeId">
    <vt:lpwstr>0x0101004459AFB63BC6354986BEB252326EC632</vt:lpwstr>
  </property>
</Properties>
</file>