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B1" w:rsidRPr="0052522C" w:rsidRDefault="008542B1" w:rsidP="000D632D">
      <w:pPr>
        <w:spacing w:before="360"/>
        <w:jc w:val="right"/>
        <w:rPr>
          <w:b/>
          <w:sz w:val="40"/>
          <w:szCs w:val="40"/>
          <w:lang w:val="fr-BE"/>
        </w:rPr>
      </w:pPr>
      <w:r w:rsidRPr="0052522C">
        <w:rPr>
          <w:rFonts w:cs="Arial"/>
          <w:b/>
          <w:sz w:val="40"/>
          <w:szCs w:val="40"/>
          <w:lang w:val="fr-BE"/>
        </w:rPr>
        <w:t>Outil d’inspection</w:t>
      </w:r>
      <w:r w:rsidR="00877C4E" w:rsidRPr="0052522C">
        <w:rPr>
          <w:rFonts w:cs="Arial"/>
          <w:b/>
          <w:sz w:val="40"/>
          <w:szCs w:val="40"/>
          <w:lang w:val="fr-BE"/>
        </w:rPr>
        <w:br/>
      </w:r>
      <w:r w:rsidR="00877C4E" w:rsidRPr="00171F00">
        <w:rPr>
          <w:rFonts w:cs="Arial"/>
          <w:b/>
          <w:sz w:val="40"/>
          <w:szCs w:val="40"/>
          <w:lang w:val="fr-BE"/>
        </w:rPr>
        <w:t xml:space="preserve">Gaz </w:t>
      </w:r>
      <w:r w:rsidR="008C74D4" w:rsidRPr="00171F00">
        <w:rPr>
          <w:rFonts w:cs="Arial"/>
          <w:b/>
          <w:sz w:val="40"/>
          <w:szCs w:val="40"/>
          <w:lang w:val="fr-BE"/>
        </w:rPr>
        <w:t>inflammables</w:t>
      </w:r>
      <w:r w:rsidR="00583806" w:rsidRPr="00171F00">
        <w:rPr>
          <w:rFonts w:cs="Arial"/>
          <w:b/>
          <w:sz w:val="40"/>
          <w:szCs w:val="40"/>
          <w:lang w:val="fr-BE"/>
        </w:rPr>
        <w:t xml:space="preserve"> liqué</w:t>
      </w:r>
      <w:r w:rsidR="00916077" w:rsidRPr="00171F00">
        <w:rPr>
          <w:rFonts w:cs="Arial"/>
          <w:b/>
          <w:sz w:val="40"/>
          <w:szCs w:val="40"/>
          <w:lang w:val="fr-BE"/>
        </w:rPr>
        <w:t>fiés</w:t>
      </w:r>
    </w:p>
    <w:p w:rsidR="008542B1" w:rsidRPr="00824BD6" w:rsidRDefault="00B6751A" w:rsidP="00950445">
      <w:pPr>
        <w:spacing w:before="600" w:after="600"/>
        <w:jc w:val="right"/>
        <w:rPr>
          <w:sz w:val="32"/>
          <w:szCs w:val="32"/>
          <w:lang w:val="fr-BE"/>
        </w:rPr>
      </w:pPr>
      <w:r w:rsidRPr="00824BD6">
        <w:rPr>
          <w:sz w:val="32"/>
          <w:szCs w:val="32"/>
          <w:lang w:val="fr-BE"/>
        </w:rPr>
        <w:t xml:space="preserve">Version </w:t>
      </w:r>
      <w:r w:rsidR="00824BD6">
        <w:rPr>
          <w:sz w:val="32"/>
          <w:szCs w:val="32"/>
          <w:lang w:val="fr-BE"/>
        </w:rPr>
        <w:t xml:space="preserve">1 </w:t>
      </w:r>
    </w:p>
    <w:p w:rsidR="00950445" w:rsidRDefault="00824BD6" w:rsidP="000D632D">
      <w:pPr>
        <w:spacing w:before="600" w:after="600"/>
        <w:jc w:val="right"/>
        <w:rPr>
          <w:sz w:val="32"/>
          <w:szCs w:val="32"/>
          <w:lang w:val="fr-BE"/>
        </w:rPr>
      </w:pPr>
      <w:r w:rsidRPr="00127A36">
        <w:rPr>
          <w:sz w:val="32"/>
          <w:szCs w:val="32"/>
          <w:lang w:val="fr-BE"/>
        </w:rPr>
        <w:t>Octobre</w:t>
      </w:r>
      <w:r w:rsidR="00F343BB" w:rsidRPr="00127A36">
        <w:rPr>
          <w:sz w:val="32"/>
          <w:szCs w:val="32"/>
          <w:lang w:val="fr-BE"/>
        </w:rPr>
        <w:t xml:space="preserve"> 2</w:t>
      </w:r>
      <w:r w:rsidR="00F343BB" w:rsidRPr="00824BD6">
        <w:rPr>
          <w:sz w:val="32"/>
          <w:szCs w:val="32"/>
          <w:lang w:val="fr-BE"/>
        </w:rPr>
        <w:t>017</w:t>
      </w:r>
    </w:p>
    <w:p w:rsidR="000D632D" w:rsidRDefault="000D632D" w:rsidP="000D632D">
      <w:pPr>
        <w:spacing w:before="600" w:after="600"/>
        <w:jc w:val="right"/>
        <w:rPr>
          <w:b/>
          <w:sz w:val="32"/>
          <w:szCs w:val="32"/>
          <w:lang w:val="fr-BE"/>
        </w:rPr>
      </w:pPr>
      <w:r w:rsidRPr="00DE7216">
        <w:rPr>
          <w:b/>
          <w:sz w:val="32"/>
          <w:szCs w:val="32"/>
          <w:lang w:val="fr-BE"/>
        </w:rPr>
        <w:t>VERSION DE TRAVAIL</w:t>
      </w:r>
    </w:p>
    <w:p w:rsidR="000D632D" w:rsidRDefault="000D632D" w:rsidP="000D632D">
      <w:pPr>
        <w:pBdr>
          <w:top w:val="single" w:sz="4" w:space="1" w:color="auto"/>
          <w:left w:val="single" w:sz="4" w:space="13" w:color="auto"/>
          <w:bottom w:val="single" w:sz="4" w:space="1" w:color="auto"/>
          <w:right w:val="single" w:sz="4" w:space="4" w:color="auto"/>
        </w:pBdr>
        <w:jc w:val="right"/>
        <w:rPr>
          <w:sz w:val="24"/>
          <w:lang w:val="fr-FR"/>
        </w:rPr>
      </w:pPr>
      <w:r w:rsidRPr="008203C4">
        <w:rPr>
          <w:sz w:val="24"/>
          <w:lang w:val="fr-FR"/>
        </w:rPr>
        <w:t>La version complète de cet outil d’in</w:t>
      </w:r>
      <w:r>
        <w:rPr>
          <w:sz w:val="24"/>
          <w:lang w:val="fr-FR"/>
        </w:rPr>
        <w:t xml:space="preserve">spection donne des commentaires </w:t>
      </w:r>
      <w:r w:rsidRPr="008203C4">
        <w:rPr>
          <w:rFonts w:cs="Arial"/>
          <w:sz w:val="24"/>
          <w:lang w:val="fr-FR"/>
        </w:rPr>
        <w:t xml:space="preserve">sur les </w:t>
      </w:r>
      <w:r w:rsidRPr="008203C4">
        <w:rPr>
          <w:sz w:val="24"/>
          <w:lang w:val="fr-FR"/>
        </w:rPr>
        <w:t xml:space="preserve">questions et peut également être téléchargée à partir du site internet suivant: </w:t>
      </w:r>
      <w:hyperlink r:id="rId8" w:history="1">
        <w:r w:rsidRPr="001A55EB">
          <w:rPr>
            <w:rStyle w:val="Hyperlink"/>
            <w:rFonts w:cs="Arial"/>
            <w:sz w:val="24"/>
            <w:lang w:val="fr-FR"/>
          </w:rPr>
          <w:t>www.emploi.belgique.be</w:t>
        </w:r>
        <w:r w:rsidRPr="001A55EB">
          <w:rPr>
            <w:rStyle w:val="Hyperlink"/>
            <w:sz w:val="24"/>
            <w:lang w:val="fr-FR"/>
          </w:rPr>
          <w:t>/drc</w:t>
        </w:r>
      </w:hyperlink>
      <w:r w:rsidRPr="008203C4">
        <w:rPr>
          <w:color w:val="0000FF"/>
          <w:sz w:val="24"/>
          <w:u w:val="single"/>
          <w:lang w:val="fr-FR"/>
        </w:rPr>
        <w:t>.</w:t>
      </w:r>
      <w:r w:rsidRPr="008203C4">
        <w:rPr>
          <w:sz w:val="24"/>
          <w:lang w:val="fr-FR"/>
        </w:rPr>
        <w:t xml:space="preserve"> </w:t>
      </w:r>
    </w:p>
    <w:p w:rsidR="000D632D" w:rsidRDefault="000D632D" w:rsidP="000D632D">
      <w:pPr>
        <w:pBdr>
          <w:top w:val="single" w:sz="4" w:space="1" w:color="auto"/>
          <w:left w:val="single" w:sz="4" w:space="13" w:color="auto"/>
          <w:bottom w:val="single" w:sz="4" w:space="1" w:color="auto"/>
          <w:right w:val="single" w:sz="4" w:space="4" w:color="auto"/>
        </w:pBdr>
        <w:rPr>
          <w:sz w:val="24"/>
          <w:lang w:val="fr-FR"/>
        </w:rPr>
      </w:pPr>
    </w:p>
    <w:p w:rsidR="000D632D" w:rsidRPr="000D632D" w:rsidRDefault="000D632D" w:rsidP="000D632D">
      <w:pPr>
        <w:spacing w:before="600" w:after="600"/>
        <w:jc w:val="right"/>
        <w:rPr>
          <w:sz w:val="32"/>
          <w:szCs w:val="32"/>
          <w:lang w:val="fr-FR"/>
        </w:rPr>
      </w:pPr>
    </w:p>
    <w:tbl>
      <w:tblPr>
        <w:tblW w:w="15168" w:type="dxa"/>
        <w:tblInd w:w="-318" w:type="dxa"/>
        <w:shd w:val="clear" w:color="auto" w:fill="999999"/>
        <w:tblLook w:val="01E0" w:firstRow="1" w:lastRow="1" w:firstColumn="1" w:lastColumn="1" w:noHBand="0" w:noVBand="0"/>
      </w:tblPr>
      <w:tblGrid>
        <w:gridCol w:w="15168"/>
      </w:tblGrid>
      <w:tr w:rsidR="008542B1" w:rsidRPr="0052522C" w:rsidTr="000D632D">
        <w:tc>
          <w:tcPr>
            <w:tcW w:w="15168" w:type="dxa"/>
            <w:shd w:val="clear" w:color="auto" w:fill="999999"/>
          </w:tcPr>
          <w:p w:rsidR="000D632D" w:rsidRPr="0052522C" w:rsidRDefault="008542B1" w:rsidP="000D632D">
            <w:pPr>
              <w:spacing w:before="120" w:after="120"/>
              <w:jc w:val="right"/>
              <w:rPr>
                <w:b/>
                <w:color w:val="FFFFFF"/>
                <w:sz w:val="24"/>
                <w:lang w:val="fr-BE"/>
              </w:rPr>
            </w:pPr>
            <w:r w:rsidRPr="0052522C">
              <w:rPr>
                <w:b/>
                <w:color w:val="FFFFFF"/>
                <w:sz w:val="24"/>
                <w:lang w:val="fr-BE"/>
              </w:rPr>
              <w:t>Services belges d’inspection Seveso</w:t>
            </w:r>
          </w:p>
        </w:tc>
      </w:tr>
    </w:tbl>
    <w:p w:rsidR="000D632D" w:rsidRDefault="000D632D"/>
    <w:p w:rsidR="008542B1" w:rsidRPr="0052522C" w:rsidRDefault="008542B1" w:rsidP="008542B1">
      <w:pPr>
        <w:rPr>
          <w:b/>
          <w:lang w:val="fr-BE"/>
        </w:rPr>
        <w:sectPr w:rsidR="008542B1" w:rsidRPr="0052522C" w:rsidSect="000D632D">
          <w:headerReference w:type="even" r:id="rId9"/>
          <w:headerReference w:type="default" r:id="rId10"/>
          <w:footerReference w:type="even" r:id="rId11"/>
          <w:footerReference w:type="default" r:id="rId12"/>
          <w:pgSz w:w="16838" w:h="11906" w:orient="landscape" w:code="9"/>
          <w:pgMar w:top="1418" w:right="1134" w:bottom="1418" w:left="1134" w:header="709" w:footer="709" w:gutter="0"/>
          <w:cols w:space="708"/>
          <w:titlePg/>
          <w:docGrid w:linePitch="360"/>
        </w:sectPr>
      </w:pPr>
    </w:p>
    <w:p w:rsidR="000E7EA7" w:rsidRDefault="000E7EA7" w:rsidP="000D632D">
      <w:pPr>
        <w:pStyle w:val="Opsomming"/>
        <w:numPr>
          <w:ilvl w:val="0"/>
          <w:numId w:val="0"/>
        </w:numPr>
      </w:pPr>
    </w:p>
    <w:p w:rsidR="00F3791C" w:rsidRPr="0053513C" w:rsidRDefault="00F3791C" w:rsidP="0053513C">
      <w:pPr>
        <w:pStyle w:val="Kop1"/>
        <w:spacing w:before="600"/>
        <w:ind w:left="8794" w:hanging="431"/>
      </w:pPr>
      <w:r w:rsidRPr="0052522C">
        <w:br/>
      </w:r>
      <w:bookmarkStart w:id="0" w:name="_Toc496177854"/>
      <w:r w:rsidR="00A83D5D" w:rsidRPr="0053513C">
        <w:rPr>
          <w:rStyle w:val="hps"/>
        </w:rPr>
        <w:t>Réservoirs et système de tuyauteries</w:t>
      </w:r>
      <w:bookmarkEnd w:id="0"/>
    </w:p>
    <w:p w:rsidR="00F3791C" w:rsidRPr="0052522C" w:rsidRDefault="000E010C" w:rsidP="00A70AF4">
      <w:pPr>
        <w:pStyle w:val="Kop2"/>
      </w:pPr>
      <w:bookmarkStart w:id="1" w:name="_Toc496177855"/>
      <w:r w:rsidRPr="0052522C">
        <w:t>Construction du réservoir et des tuyauteries</w:t>
      </w:r>
      <w:bookmarkEnd w:id="1"/>
    </w:p>
    <w:tbl>
      <w:tblPr>
        <w:tblStyle w:val="Tabelraster"/>
        <w:tblW w:w="0" w:type="auto"/>
        <w:tblInd w:w="567" w:type="dxa"/>
        <w:tblLook w:val="04A0" w:firstRow="1" w:lastRow="0" w:firstColumn="1" w:lastColumn="0" w:noHBand="0" w:noVBand="1"/>
      </w:tblPr>
      <w:tblGrid>
        <w:gridCol w:w="8500"/>
        <w:gridCol w:w="4925"/>
      </w:tblGrid>
      <w:tr w:rsidR="009F7D1E" w:rsidRPr="00B42730" w:rsidTr="00244C49">
        <w:tc>
          <w:tcPr>
            <w:tcW w:w="8500" w:type="dxa"/>
          </w:tcPr>
          <w:p w:rsidR="009F7D1E" w:rsidRPr="009F7D1E" w:rsidRDefault="009F7D1E" w:rsidP="00244C49">
            <w:pPr>
              <w:pStyle w:val="Mesure"/>
            </w:pPr>
            <w:r w:rsidRPr="009F7D1E">
              <w:t xml:space="preserve">Réservoirs construits suivant une norme de construction </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
              <w:ind w:left="0"/>
              <w:rPr>
                <w:lang w:val="fr-BE"/>
              </w:rPr>
            </w:pPr>
            <w:r w:rsidRPr="009F7D1E">
              <w:rPr>
                <w:lang w:val="fr-BE"/>
              </w:rPr>
              <w:t>Pour les réservoirs et leurs accessoires (tuyauteries et flexibles) mis en service après le 29 novembre 1999</w:t>
            </w:r>
            <w:r w:rsidRPr="009F7D1E">
              <w:rPr>
                <w:rStyle w:val="Voetnootmarkering"/>
                <w:lang w:val="fr-BE"/>
              </w:rPr>
              <w:footnoteReference w:id="2"/>
            </w:r>
            <w:r w:rsidRPr="009F7D1E">
              <w:rPr>
                <w:lang w:val="fr-BE"/>
              </w:rPr>
              <w:t xml:space="preserve"> un certificat CE de conformité avec la directive concernant les équipements sous pression est nécessaire.</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
              <w:ind w:left="0"/>
              <w:rPr>
                <w:lang w:val="fr-BE"/>
              </w:rPr>
            </w:pPr>
            <w:r w:rsidRPr="009F7D1E">
              <w:rPr>
                <w:lang w:val="fr-BE"/>
              </w:rPr>
              <w:t>Pour tous les réservoirs de LPG un organisme agréé a établi un rapport dont il ressort que le lieu de stockage satisfait aux prescriptions de l’art. 21bis de l'AR’68.</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
              <w:ind w:left="0"/>
              <w:rPr>
                <w:i w:val="0"/>
                <w:lang w:val="fr-BE"/>
              </w:rPr>
            </w:pPr>
            <w:r w:rsidRPr="009F7D1E">
              <w:rPr>
                <w:lang w:val="fr-BE"/>
              </w:rPr>
              <w:t>L’examen de la conformité à l’AR’68 doit être réalisé lors de chaque modification et au moins tous les 5 ans.</w:t>
            </w:r>
          </w:p>
        </w:tc>
        <w:tc>
          <w:tcPr>
            <w:tcW w:w="4925" w:type="dxa"/>
          </w:tcPr>
          <w:p w:rsidR="009F7D1E" w:rsidRPr="009F7D1E" w:rsidRDefault="009F7D1E" w:rsidP="009F7D1E">
            <w:pPr>
              <w:rPr>
                <w:lang w:val="fr-BE"/>
              </w:rPr>
            </w:pPr>
          </w:p>
        </w:tc>
      </w:tr>
      <w:tr w:rsidR="009F7D1E" w:rsidRPr="009F7D1E" w:rsidTr="00244C49">
        <w:tc>
          <w:tcPr>
            <w:tcW w:w="8500" w:type="dxa"/>
          </w:tcPr>
          <w:p w:rsidR="009F7D1E" w:rsidRPr="009F7D1E" w:rsidRDefault="009F7D1E" w:rsidP="00244C49">
            <w:pPr>
              <w:pStyle w:val="Mesure"/>
            </w:pPr>
            <w:r w:rsidRPr="009F7D1E">
              <w:t>Dossier de construction disponible</w:t>
            </w:r>
          </w:p>
        </w:tc>
        <w:tc>
          <w:tcPr>
            <w:tcW w:w="4925" w:type="dxa"/>
          </w:tcPr>
          <w:p w:rsidR="009F7D1E" w:rsidRPr="009F7D1E" w:rsidRDefault="009F7D1E" w:rsidP="009F7D1E"/>
        </w:tc>
      </w:tr>
      <w:tr w:rsidR="009F7D1E" w:rsidRPr="009F7D1E" w:rsidTr="00244C49">
        <w:tc>
          <w:tcPr>
            <w:tcW w:w="8500" w:type="dxa"/>
          </w:tcPr>
          <w:p w:rsidR="009F7D1E" w:rsidRPr="009F7D1E" w:rsidRDefault="009F7D1E" w:rsidP="00244C49">
            <w:pPr>
              <w:pStyle w:val="Toelichtingvraag"/>
              <w:ind w:left="0"/>
              <w:rPr>
                <w:lang w:val="fr-BE"/>
              </w:rPr>
            </w:pPr>
            <w:r w:rsidRPr="009F7D1E">
              <w:rPr>
                <w:lang w:val="fr-BE"/>
              </w:rPr>
              <w:lastRenderedPageBreak/>
              <w:t>Le dossier de construction est constitué lors de la conception et de la construction du réservoir. Le dossier de construction est aussi complété, modifié ou revisé après d’éventuelles modifications. Le dossier mentionne au minimum:</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insprong1"/>
            </w:pPr>
            <w:r w:rsidRPr="009F7D1E">
              <w:t xml:space="preserve">une liste des composants (par exemple tôles d’acier formées, armatures pour vannes et instrumentation,…) avec lesquels le réservoir a été construit </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un certificat matériau du fournisseur pour chaque composant. Ce certificat mentionne la conformité avec les normes respectives pour les matériaux de construction et les propriétés mécaniques de l’élément</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les liaisons par soudure et les contrôles réalisés sur ces liaisons après leur exécution</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la déclaration UE de conformité pour des réservoirs tombant sous les directives européennes relatives à la mise sur le marché d’équipements sous pression</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les données de conception pour la pression, la température, e.a. ainsi que les calculs des épaisseurs minimales requises de l’enveloppe et la surépaisseur de corrosion utilisée</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les résultats de la réalisation de l’épeuve hydraulique</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une attestation de conformité du réservoir et des accessoires</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pPr>
            <w:r w:rsidRPr="009F7D1E">
              <w:t>les données concernant les pressions de conception des différents éléments, tels que les enveloppes, les vannes, les joints, e.a.</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Mesure"/>
            </w:pPr>
            <w:r w:rsidRPr="009F7D1E">
              <w:rPr>
                <w:lang w:eastAsia="nl-BE"/>
              </w:rPr>
              <w:t>Matériau de construction résistant à la température la plus basse possible</w:t>
            </w:r>
          </w:p>
        </w:tc>
        <w:tc>
          <w:tcPr>
            <w:tcW w:w="4925" w:type="dxa"/>
          </w:tcPr>
          <w:p w:rsidR="009F7D1E" w:rsidRPr="00B42730" w:rsidRDefault="009F7D1E" w:rsidP="009F7D1E">
            <w:pPr>
              <w:rPr>
                <w:lang w:val="fr-FR" w:eastAsia="nl-BE"/>
              </w:rPr>
            </w:pPr>
          </w:p>
        </w:tc>
      </w:tr>
      <w:tr w:rsidR="009F7D1E" w:rsidRPr="00B42730" w:rsidTr="00244C49">
        <w:tc>
          <w:tcPr>
            <w:tcW w:w="8500" w:type="dxa"/>
          </w:tcPr>
          <w:p w:rsidR="009F7D1E" w:rsidRPr="009F7D1E" w:rsidRDefault="009F7D1E" w:rsidP="00244C49">
            <w:pPr>
              <w:pStyle w:val="Toelichtingvraag"/>
              <w:ind w:left="0"/>
              <w:rPr>
                <w:lang w:val="fr-BE"/>
              </w:rPr>
            </w:pPr>
            <w:r w:rsidRPr="009F7D1E">
              <w:rPr>
                <w:lang w:val="fr-BE"/>
              </w:rPr>
              <w:t>La température minimale qui peut survenir est le point d'ébullition atmosphérique du gaz liquéfié. La température minimale de conception ressort de la documentation de conception, des standards techniques et des certificats de matériaux.</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
              <w:ind w:left="0"/>
              <w:rPr>
                <w:b/>
                <w:lang w:val="fr-BE"/>
              </w:rPr>
            </w:pPr>
            <w:r w:rsidRPr="009F7D1E">
              <w:rPr>
                <w:lang w:val="fr-BE"/>
              </w:rPr>
              <w:lastRenderedPageBreak/>
              <w:t>S’il n’est pas satisfait à cette mesure, l’exploitant identifie toutes les causes d’une basse température et il doit démontrer que toutes les mesures nécessaires ont été prises pour prévenir une rupture de réservoirs et de tuyauteries suite à de basses températures.</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Mesure"/>
            </w:pPr>
            <w:r w:rsidRPr="009F7D1E">
              <w:t>Pas d'élément en verre en contact avec des gaz liquéfiés</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
              <w:ind w:left="0"/>
              <w:rPr>
                <w:lang w:val="fr-BE"/>
              </w:rPr>
            </w:pPr>
            <w:r w:rsidRPr="009F7D1E">
              <w:rPr>
                <w:lang w:val="fr-BE"/>
              </w:rPr>
              <w:t>Des exemples d’éléments pouvant être en verre sont:</w:t>
            </w:r>
          </w:p>
        </w:tc>
        <w:tc>
          <w:tcPr>
            <w:tcW w:w="4925" w:type="dxa"/>
          </w:tcPr>
          <w:p w:rsidR="009F7D1E" w:rsidRPr="009F7D1E" w:rsidRDefault="009F7D1E" w:rsidP="009F7D1E">
            <w:pPr>
              <w:rPr>
                <w:lang w:val="fr-BE"/>
              </w:rPr>
            </w:pPr>
          </w:p>
        </w:tc>
      </w:tr>
      <w:tr w:rsidR="009F7D1E" w:rsidRPr="009F7D1E" w:rsidTr="00244C49">
        <w:tc>
          <w:tcPr>
            <w:tcW w:w="8500" w:type="dxa"/>
          </w:tcPr>
          <w:p w:rsidR="009F7D1E" w:rsidRPr="009F7D1E" w:rsidRDefault="009F7D1E" w:rsidP="00244C49">
            <w:pPr>
              <w:pStyle w:val="toelichtingvraaginsprong1"/>
            </w:pPr>
            <w:r w:rsidRPr="009F7D1E">
              <w:t xml:space="preserve">des regards </w:t>
            </w:r>
          </w:p>
        </w:tc>
        <w:tc>
          <w:tcPr>
            <w:tcW w:w="4925" w:type="dxa"/>
          </w:tcPr>
          <w:p w:rsidR="009F7D1E" w:rsidRPr="009F7D1E" w:rsidRDefault="009F7D1E" w:rsidP="009F7D1E"/>
        </w:tc>
      </w:tr>
      <w:tr w:rsidR="009F7D1E" w:rsidRPr="009F7D1E" w:rsidTr="00244C49">
        <w:tc>
          <w:tcPr>
            <w:tcW w:w="8500" w:type="dxa"/>
          </w:tcPr>
          <w:p w:rsidR="009F7D1E" w:rsidRPr="009F7D1E" w:rsidRDefault="009F7D1E" w:rsidP="00244C49">
            <w:pPr>
              <w:pStyle w:val="toelichtingvraaginsprong1"/>
            </w:pPr>
            <w:r w:rsidRPr="009F7D1E">
              <w:t>des indicateurs de niveau</w:t>
            </w:r>
          </w:p>
        </w:tc>
        <w:tc>
          <w:tcPr>
            <w:tcW w:w="4925" w:type="dxa"/>
          </w:tcPr>
          <w:p w:rsidR="009F7D1E" w:rsidRPr="009F7D1E" w:rsidRDefault="009F7D1E" w:rsidP="009F7D1E"/>
        </w:tc>
      </w:tr>
      <w:tr w:rsidR="009F7D1E" w:rsidRPr="009F7D1E" w:rsidTr="00244C49">
        <w:tc>
          <w:tcPr>
            <w:tcW w:w="8500" w:type="dxa"/>
          </w:tcPr>
          <w:p w:rsidR="009F7D1E" w:rsidRPr="009F7D1E" w:rsidRDefault="009F7D1E" w:rsidP="00244C49">
            <w:pPr>
              <w:pStyle w:val="toelichtingvraaginsprong1"/>
            </w:pPr>
            <w:r w:rsidRPr="009F7D1E">
              <w:t>des rotamètres.</w:t>
            </w:r>
          </w:p>
        </w:tc>
        <w:tc>
          <w:tcPr>
            <w:tcW w:w="4925" w:type="dxa"/>
          </w:tcPr>
          <w:p w:rsidR="009F7D1E" w:rsidRPr="009F7D1E" w:rsidRDefault="009F7D1E" w:rsidP="009F7D1E"/>
        </w:tc>
      </w:tr>
      <w:tr w:rsidR="009F7D1E" w:rsidRPr="009F7D1E" w:rsidTr="00244C49">
        <w:tc>
          <w:tcPr>
            <w:tcW w:w="8500" w:type="dxa"/>
          </w:tcPr>
          <w:p w:rsidR="009F7D1E" w:rsidRPr="009F7D1E" w:rsidRDefault="009F7D1E" w:rsidP="00244C49">
            <w:pPr>
              <w:pStyle w:val="Toelichtingvraag"/>
              <w:ind w:left="0"/>
              <w:rPr>
                <w:lang w:val="fr-BE"/>
              </w:rPr>
            </w:pPr>
            <w:r w:rsidRPr="009F7D1E">
              <w:rPr>
                <w:lang w:val="fr-BE"/>
              </w:rPr>
              <w:t>Les éléments en verre sont de préférence évités. [15], [17]</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
              <w:ind w:left="0"/>
              <w:rPr>
                <w:lang w:val="fr-BE"/>
              </w:rPr>
            </w:pPr>
            <w:r w:rsidRPr="009F7D1E">
              <w:rPr>
                <w:lang w:val="fr-BE"/>
              </w:rPr>
              <w:t>S’ils sont malgré tout absolument nécessaires, des mesures spéciales sont prises, telles que:</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toelichtingvraaginsprong1"/>
              <w:numPr>
                <w:ilvl w:val="1"/>
                <w:numId w:val="23"/>
              </w:numPr>
            </w:pPr>
            <w:r w:rsidRPr="009F7D1E">
              <w:t>l’usage de regards en verre coulé dans une matrice en métal</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insprong1"/>
              <w:numPr>
                <w:ilvl w:val="1"/>
                <w:numId w:val="23"/>
              </w:numPr>
            </w:pPr>
            <w:r w:rsidRPr="009F7D1E">
              <w:t xml:space="preserve">équiper les indicateurs de niveau avec un limiteur de débit et une vanne manuelle au niveau des connexions avec le réservoir; les vannes manuelles sont en position fermée et sont uniquement ouvertes au moment où la lecture du niveau doit se faire. </w:t>
            </w:r>
          </w:p>
        </w:tc>
        <w:tc>
          <w:tcPr>
            <w:tcW w:w="4925" w:type="dxa"/>
          </w:tcPr>
          <w:p w:rsidR="009F7D1E" w:rsidRPr="00B42730" w:rsidRDefault="009F7D1E" w:rsidP="009F7D1E">
            <w:pPr>
              <w:rPr>
                <w:lang w:val="fr-FR"/>
              </w:rPr>
            </w:pPr>
          </w:p>
        </w:tc>
      </w:tr>
      <w:tr w:rsidR="009F7D1E" w:rsidRPr="00B42730" w:rsidTr="00244C49">
        <w:tc>
          <w:tcPr>
            <w:tcW w:w="8500" w:type="dxa"/>
          </w:tcPr>
          <w:p w:rsidR="009F7D1E" w:rsidRPr="009F7D1E" w:rsidRDefault="009F7D1E" w:rsidP="00244C49">
            <w:pPr>
              <w:pStyle w:val="Toelichtingvraag"/>
              <w:ind w:left="0"/>
              <w:rPr>
                <w:b/>
                <w:bCs/>
                <w:lang w:val="fr-BE"/>
              </w:rPr>
            </w:pPr>
            <w:r w:rsidRPr="009F7D1E">
              <w:rPr>
                <w:lang w:val="fr-BE"/>
              </w:rPr>
              <w:t>On trouve plus d’informations sur les risques des regards et des indicateurs de niveau en verre dans la note d’information ‘Regards et indicateurs de niveau en verre‘ que l’on peut retrouver sur le site web du SPF ETCS.</w:t>
            </w:r>
          </w:p>
        </w:tc>
        <w:tc>
          <w:tcPr>
            <w:tcW w:w="4925" w:type="dxa"/>
          </w:tcPr>
          <w:p w:rsidR="009F7D1E" w:rsidRPr="009F7D1E" w:rsidRDefault="009F7D1E" w:rsidP="009F7D1E">
            <w:pPr>
              <w:rPr>
                <w:lang w:val="fr-BE"/>
              </w:rPr>
            </w:pPr>
          </w:p>
        </w:tc>
      </w:tr>
      <w:tr w:rsidR="009F7D1E" w:rsidRPr="00B42730" w:rsidTr="00244C49">
        <w:tc>
          <w:tcPr>
            <w:tcW w:w="8500" w:type="dxa"/>
          </w:tcPr>
          <w:p w:rsidR="009F7D1E" w:rsidRPr="009F7D1E" w:rsidRDefault="009F7D1E" w:rsidP="00244C49">
            <w:pPr>
              <w:pStyle w:val="Mesure"/>
              <w:rPr>
                <w:lang w:eastAsia="nl-BE"/>
              </w:rPr>
            </w:pPr>
            <w:r w:rsidRPr="009F7D1E">
              <w:t xml:space="preserve">Aucune utilisation de soufflet d'expansion en contact avec des gaz liquéfiés </w:t>
            </w:r>
          </w:p>
        </w:tc>
        <w:tc>
          <w:tcPr>
            <w:tcW w:w="4925" w:type="dxa"/>
          </w:tcPr>
          <w:p w:rsidR="009F7D1E" w:rsidRPr="00B42730" w:rsidRDefault="009F7D1E" w:rsidP="009F7D1E">
            <w:pPr>
              <w:rPr>
                <w:lang w:val="fr-FR"/>
              </w:rPr>
            </w:pPr>
          </w:p>
        </w:tc>
      </w:tr>
    </w:tbl>
    <w:p w:rsidR="00BF2BB1" w:rsidRPr="00C05350" w:rsidRDefault="00BF2BB1" w:rsidP="00BF2BB1">
      <w:pPr>
        <w:rPr>
          <w:lang w:val="fr-BE"/>
        </w:rPr>
      </w:pPr>
    </w:p>
    <w:p w:rsidR="00BF2BB1" w:rsidRDefault="00BF2BB1">
      <w:pPr>
        <w:jc w:val="left"/>
        <w:rPr>
          <w:rFonts w:ascii="Arial" w:hAnsi="Arial" w:cs="Arial"/>
          <w:b/>
          <w:bCs/>
          <w:i/>
          <w:iCs/>
          <w:sz w:val="36"/>
          <w:szCs w:val="36"/>
          <w:lang w:val="fr-BE"/>
        </w:rPr>
      </w:pPr>
      <w:r w:rsidRPr="00C05350">
        <w:rPr>
          <w:lang w:val="fr-BE"/>
        </w:rPr>
        <w:br w:type="page"/>
      </w:r>
    </w:p>
    <w:p w:rsidR="00F3791C" w:rsidRPr="0052522C" w:rsidRDefault="00753414" w:rsidP="00A70AF4">
      <w:pPr>
        <w:pStyle w:val="Kop2"/>
      </w:pPr>
      <w:bookmarkStart w:id="2" w:name="_Toc496177856"/>
      <w:r w:rsidRPr="00A70AF4">
        <w:lastRenderedPageBreak/>
        <w:t>Signalisation</w:t>
      </w:r>
      <w:bookmarkEnd w:id="2"/>
    </w:p>
    <w:tbl>
      <w:tblPr>
        <w:tblStyle w:val="Tabelraster"/>
        <w:tblW w:w="0" w:type="auto"/>
        <w:tblInd w:w="567" w:type="dxa"/>
        <w:tblLook w:val="04A0" w:firstRow="1" w:lastRow="0" w:firstColumn="1" w:lastColumn="0" w:noHBand="0" w:noVBand="1"/>
      </w:tblPr>
      <w:tblGrid>
        <w:gridCol w:w="8359"/>
        <w:gridCol w:w="5066"/>
      </w:tblGrid>
      <w:tr w:rsidR="00A47D11" w:rsidRPr="00A47D11" w:rsidTr="00A47D11">
        <w:tc>
          <w:tcPr>
            <w:tcW w:w="8359" w:type="dxa"/>
          </w:tcPr>
          <w:p w:rsidR="00A47D11" w:rsidRPr="00A47D11" w:rsidRDefault="00A47D11" w:rsidP="00244C49">
            <w:pPr>
              <w:pStyle w:val="Mesure"/>
            </w:pPr>
            <w:r w:rsidRPr="00A47D11">
              <w:t>Signalisation sur les réservoirs</w:t>
            </w:r>
          </w:p>
        </w:tc>
        <w:tc>
          <w:tcPr>
            <w:tcW w:w="5066" w:type="dxa"/>
          </w:tcPr>
          <w:p w:rsidR="00A47D11" w:rsidRPr="00A47D11" w:rsidRDefault="00A47D11" w:rsidP="00A47D11"/>
        </w:tc>
      </w:tr>
      <w:tr w:rsidR="00A47D11" w:rsidRPr="00A47D11" w:rsidTr="00A47D11">
        <w:tc>
          <w:tcPr>
            <w:tcW w:w="8359" w:type="dxa"/>
          </w:tcPr>
          <w:p w:rsidR="00A47D11" w:rsidRPr="00A47D11" w:rsidRDefault="00A47D11" w:rsidP="00244C49">
            <w:pPr>
              <w:pStyle w:val="Toelichtingvraag"/>
              <w:ind w:left="0"/>
              <w:rPr>
                <w:lang w:val="fr-BE"/>
              </w:rPr>
            </w:pPr>
            <w:r w:rsidRPr="00A47D11">
              <w:rPr>
                <w:lang w:val="fr-BE"/>
              </w:rPr>
              <w:t>Signalisation sur chaque réservoir:</w:t>
            </w:r>
          </w:p>
        </w:tc>
        <w:tc>
          <w:tcPr>
            <w:tcW w:w="5066" w:type="dxa"/>
          </w:tcPr>
          <w:p w:rsidR="00A47D11" w:rsidRPr="00A47D11" w:rsidRDefault="00A47D11" w:rsidP="00A47D11">
            <w:pPr>
              <w:rPr>
                <w:lang w:val="fr-BE"/>
              </w:rPr>
            </w:pPr>
          </w:p>
        </w:tc>
      </w:tr>
      <w:tr w:rsidR="00A47D11" w:rsidRPr="00A47D11" w:rsidTr="00A47D11">
        <w:tc>
          <w:tcPr>
            <w:tcW w:w="8359" w:type="dxa"/>
          </w:tcPr>
          <w:p w:rsidR="00A47D11" w:rsidRPr="00A47D11" w:rsidRDefault="00A47D11" w:rsidP="00244C49">
            <w:pPr>
              <w:pStyle w:val="toelichtingvraaginsprong1"/>
            </w:pPr>
            <w:r w:rsidRPr="00A47D11">
              <w:t>le numéro du réservoir</w:t>
            </w:r>
          </w:p>
        </w:tc>
        <w:tc>
          <w:tcPr>
            <w:tcW w:w="5066" w:type="dxa"/>
          </w:tcPr>
          <w:p w:rsidR="00A47D11" w:rsidRPr="00A47D11" w:rsidRDefault="00A47D11" w:rsidP="00A47D11"/>
        </w:tc>
      </w:tr>
      <w:tr w:rsidR="00A47D11" w:rsidRPr="00B42730" w:rsidTr="00A47D11">
        <w:tc>
          <w:tcPr>
            <w:tcW w:w="8359" w:type="dxa"/>
          </w:tcPr>
          <w:p w:rsidR="00A47D11" w:rsidRPr="00A47D11" w:rsidRDefault="00A47D11" w:rsidP="00244C49">
            <w:pPr>
              <w:pStyle w:val="toelichtingvraaginsprong1"/>
            </w:pPr>
            <w:r w:rsidRPr="00A47D11">
              <w:t>la dénomination du produit stocké</w:t>
            </w:r>
          </w:p>
        </w:tc>
        <w:tc>
          <w:tcPr>
            <w:tcW w:w="5066" w:type="dxa"/>
          </w:tcPr>
          <w:p w:rsidR="00A47D11" w:rsidRPr="00A47D11" w:rsidRDefault="00A47D11" w:rsidP="00A47D11">
            <w:pPr>
              <w:rPr>
                <w:lang w:val="fr-FR"/>
              </w:rPr>
            </w:pPr>
          </w:p>
        </w:tc>
      </w:tr>
      <w:tr w:rsidR="00A47D11" w:rsidRPr="00A47D11" w:rsidTr="00A47D11">
        <w:tc>
          <w:tcPr>
            <w:tcW w:w="8359" w:type="dxa"/>
          </w:tcPr>
          <w:p w:rsidR="00A47D11" w:rsidRPr="00A47D11" w:rsidRDefault="00A47D11" w:rsidP="00244C49">
            <w:pPr>
              <w:pStyle w:val="toelichtingvraaginsprong1"/>
            </w:pPr>
            <w:r w:rsidRPr="00A47D11">
              <w:t>les pictogrammes de danger</w:t>
            </w:r>
          </w:p>
        </w:tc>
        <w:tc>
          <w:tcPr>
            <w:tcW w:w="5066" w:type="dxa"/>
          </w:tcPr>
          <w:p w:rsidR="00A47D11" w:rsidRPr="00A47D11" w:rsidRDefault="00A47D11" w:rsidP="00A47D11"/>
        </w:tc>
      </w:tr>
      <w:tr w:rsidR="00A47D11" w:rsidRPr="00A47D11" w:rsidTr="00A47D11">
        <w:tc>
          <w:tcPr>
            <w:tcW w:w="8359" w:type="dxa"/>
          </w:tcPr>
          <w:p w:rsidR="00A47D11" w:rsidRPr="00A47D11" w:rsidRDefault="00A47D11" w:rsidP="00244C49">
            <w:pPr>
              <w:pStyle w:val="toelichtingvraaginsprong1"/>
            </w:pPr>
            <w:r w:rsidRPr="00A47D11">
              <w:t>la capacité du réservoir.</w:t>
            </w:r>
          </w:p>
        </w:tc>
        <w:tc>
          <w:tcPr>
            <w:tcW w:w="5066" w:type="dxa"/>
          </w:tcPr>
          <w:p w:rsidR="00A47D11" w:rsidRPr="00A47D11" w:rsidRDefault="00A47D11" w:rsidP="00A47D11"/>
        </w:tc>
      </w:tr>
      <w:tr w:rsidR="00A47D11" w:rsidRPr="00B42730" w:rsidTr="00A47D11">
        <w:tc>
          <w:tcPr>
            <w:tcW w:w="8359" w:type="dxa"/>
          </w:tcPr>
          <w:p w:rsidR="00A47D11" w:rsidRPr="00A47D11" w:rsidRDefault="00A47D11" w:rsidP="00244C49">
            <w:pPr>
              <w:pStyle w:val="Mesure"/>
            </w:pPr>
            <w:r w:rsidRPr="00A47D11">
              <w:t>Signalisation sur les tuyauteries au niveau du réservoir</w:t>
            </w:r>
          </w:p>
        </w:tc>
        <w:tc>
          <w:tcPr>
            <w:tcW w:w="5066" w:type="dxa"/>
          </w:tcPr>
          <w:p w:rsidR="00A47D11" w:rsidRPr="00B42730" w:rsidRDefault="00A47D11" w:rsidP="00A47D11">
            <w:pPr>
              <w:rPr>
                <w:lang w:val="fr-FR"/>
              </w:rPr>
            </w:pPr>
          </w:p>
        </w:tc>
      </w:tr>
      <w:tr w:rsidR="00A47D11" w:rsidRPr="00A47D11" w:rsidTr="00A47D11">
        <w:tc>
          <w:tcPr>
            <w:tcW w:w="8359" w:type="dxa"/>
          </w:tcPr>
          <w:p w:rsidR="00A47D11" w:rsidRPr="00A47D11" w:rsidRDefault="00A47D11" w:rsidP="00244C49">
            <w:pPr>
              <w:pStyle w:val="Toelichtingvraag"/>
              <w:ind w:left="0"/>
              <w:rPr>
                <w:lang w:val="fr-BE"/>
              </w:rPr>
            </w:pPr>
            <w:r w:rsidRPr="00A47D11">
              <w:rPr>
                <w:lang w:val="fr-BE"/>
              </w:rPr>
              <w:t>Indication du:</w:t>
            </w:r>
          </w:p>
        </w:tc>
        <w:tc>
          <w:tcPr>
            <w:tcW w:w="5066" w:type="dxa"/>
          </w:tcPr>
          <w:p w:rsidR="00A47D11" w:rsidRPr="00A47D11" w:rsidRDefault="00A47D11" w:rsidP="00A47D11">
            <w:pPr>
              <w:rPr>
                <w:lang w:val="fr-BE"/>
              </w:rPr>
            </w:pPr>
          </w:p>
        </w:tc>
      </w:tr>
      <w:tr w:rsidR="00A47D11" w:rsidRPr="00A47D11" w:rsidTr="00A47D11">
        <w:tc>
          <w:tcPr>
            <w:tcW w:w="8359" w:type="dxa"/>
          </w:tcPr>
          <w:p w:rsidR="00A47D11" w:rsidRPr="00A47D11" w:rsidRDefault="00A47D11" w:rsidP="00244C49">
            <w:pPr>
              <w:pStyle w:val="toelichtingvraaginsprong1"/>
            </w:pPr>
            <w:r w:rsidRPr="00A47D11">
              <w:t>sens d’écoulement</w:t>
            </w:r>
          </w:p>
        </w:tc>
        <w:tc>
          <w:tcPr>
            <w:tcW w:w="5066" w:type="dxa"/>
          </w:tcPr>
          <w:p w:rsidR="00A47D11" w:rsidRPr="00A47D11" w:rsidRDefault="00A47D11" w:rsidP="00A47D11"/>
        </w:tc>
      </w:tr>
      <w:tr w:rsidR="00A47D11" w:rsidRPr="00A47D11" w:rsidTr="00A47D11">
        <w:tc>
          <w:tcPr>
            <w:tcW w:w="8359" w:type="dxa"/>
          </w:tcPr>
          <w:p w:rsidR="00A47D11" w:rsidRPr="00A47D11" w:rsidRDefault="00A47D11" w:rsidP="00244C49">
            <w:pPr>
              <w:pStyle w:val="toelichtingvraaginsprong1"/>
            </w:pPr>
            <w:r w:rsidRPr="00A47D11">
              <w:t>produit s’y trouvant.</w:t>
            </w:r>
          </w:p>
        </w:tc>
        <w:tc>
          <w:tcPr>
            <w:tcW w:w="5066" w:type="dxa"/>
          </w:tcPr>
          <w:p w:rsidR="00A47D11" w:rsidRPr="00A47D11" w:rsidRDefault="00A47D11" w:rsidP="00A47D11"/>
        </w:tc>
      </w:tr>
      <w:tr w:rsidR="00A47D11" w:rsidRPr="00B42730" w:rsidTr="00A47D11">
        <w:tc>
          <w:tcPr>
            <w:tcW w:w="8359" w:type="dxa"/>
          </w:tcPr>
          <w:p w:rsidR="00A47D11" w:rsidRPr="00A47D11" w:rsidRDefault="00A47D11" w:rsidP="00244C49">
            <w:pPr>
              <w:pStyle w:val="insprongbolleke"/>
              <w:rPr>
                <w:i w:val="0"/>
              </w:rPr>
            </w:pPr>
            <w:r w:rsidRPr="00A47D11">
              <w:t xml:space="preserve">Cette signalisation est à placer à des endroits judicieusement choisis, tels qu’au niveau des vannes, des pompes et sur les longues tuyauteries. </w:t>
            </w:r>
          </w:p>
        </w:tc>
        <w:tc>
          <w:tcPr>
            <w:tcW w:w="5066" w:type="dxa"/>
          </w:tcPr>
          <w:p w:rsidR="00A47D11" w:rsidRPr="00B42730" w:rsidRDefault="00A47D11" w:rsidP="00A47D11">
            <w:pPr>
              <w:rPr>
                <w:lang w:val="fr-FR"/>
              </w:rPr>
            </w:pPr>
          </w:p>
        </w:tc>
      </w:tr>
      <w:tr w:rsidR="00A47D11" w:rsidRPr="00B42730" w:rsidTr="00A47D11">
        <w:tc>
          <w:tcPr>
            <w:tcW w:w="8359" w:type="dxa"/>
          </w:tcPr>
          <w:p w:rsidR="00A47D11" w:rsidRPr="00A47D11" w:rsidRDefault="00A47D11" w:rsidP="00244C49">
            <w:pPr>
              <w:pStyle w:val="Mesure"/>
            </w:pPr>
            <w:r w:rsidRPr="00A47D11">
              <w:t>Signalisation des vannes au niveau du réservoir</w:t>
            </w:r>
          </w:p>
        </w:tc>
        <w:tc>
          <w:tcPr>
            <w:tcW w:w="5066" w:type="dxa"/>
          </w:tcPr>
          <w:p w:rsidR="00A47D11" w:rsidRPr="00B42730" w:rsidRDefault="00A47D11" w:rsidP="00A47D11">
            <w:pPr>
              <w:rPr>
                <w:lang w:val="fr-FR"/>
              </w:rPr>
            </w:pPr>
          </w:p>
        </w:tc>
      </w:tr>
      <w:tr w:rsidR="00A47D11" w:rsidRPr="00A47D11" w:rsidTr="00A47D11">
        <w:tc>
          <w:tcPr>
            <w:tcW w:w="8359" w:type="dxa"/>
          </w:tcPr>
          <w:p w:rsidR="00A47D11" w:rsidRPr="00A47D11" w:rsidRDefault="00A47D11" w:rsidP="00244C49">
            <w:pPr>
              <w:pStyle w:val="Toelichtingvraag"/>
              <w:ind w:left="0"/>
              <w:rPr>
                <w:lang w:val="fr-BE"/>
              </w:rPr>
            </w:pPr>
            <w:r w:rsidRPr="00A47D11">
              <w:rPr>
                <w:lang w:val="fr-BE"/>
              </w:rPr>
              <w:t>Indication de:</w:t>
            </w:r>
          </w:p>
        </w:tc>
        <w:tc>
          <w:tcPr>
            <w:tcW w:w="5066" w:type="dxa"/>
          </w:tcPr>
          <w:p w:rsidR="00A47D11" w:rsidRPr="00A47D11" w:rsidRDefault="00A47D11" w:rsidP="00A47D11">
            <w:pPr>
              <w:rPr>
                <w:lang w:val="fr-BE"/>
              </w:rPr>
            </w:pPr>
          </w:p>
        </w:tc>
      </w:tr>
      <w:tr w:rsidR="00A47D11" w:rsidRPr="00B42730" w:rsidTr="00A47D11">
        <w:tc>
          <w:tcPr>
            <w:tcW w:w="8359" w:type="dxa"/>
          </w:tcPr>
          <w:p w:rsidR="00A47D11" w:rsidRPr="00A47D11" w:rsidRDefault="00A47D11" w:rsidP="00244C49">
            <w:pPr>
              <w:pStyle w:val="toelichtingvraaginsprong1"/>
            </w:pPr>
            <w:r w:rsidRPr="00A47D11">
              <w:t>la position de la vanne (ouvert / fermé)</w:t>
            </w:r>
          </w:p>
        </w:tc>
        <w:tc>
          <w:tcPr>
            <w:tcW w:w="5066" w:type="dxa"/>
          </w:tcPr>
          <w:p w:rsidR="00A47D11" w:rsidRPr="00B42730" w:rsidRDefault="00A47D11" w:rsidP="00A47D11">
            <w:pPr>
              <w:rPr>
                <w:lang w:val="fr-FR"/>
              </w:rPr>
            </w:pPr>
          </w:p>
        </w:tc>
      </w:tr>
      <w:tr w:rsidR="00A47D11" w:rsidRPr="00B42730" w:rsidTr="00A47D11">
        <w:tc>
          <w:tcPr>
            <w:tcW w:w="8359" w:type="dxa"/>
          </w:tcPr>
          <w:p w:rsidR="00A47D11" w:rsidRPr="00A47D11" w:rsidRDefault="00A47D11" w:rsidP="00244C49">
            <w:pPr>
              <w:pStyle w:val="toelichtingvraaginsprong1"/>
            </w:pPr>
            <w:r w:rsidRPr="00A47D11">
              <w:t>éventuellement la fonction de la vanne.</w:t>
            </w:r>
          </w:p>
        </w:tc>
        <w:tc>
          <w:tcPr>
            <w:tcW w:w="5066" w:type="dxa"/>
          </w:tcPr>
          <w:p w:rsidR="00A47D11" w:rsidRPr="00B42730" w:rsidRDefault="00A47D11" w:rsidP="00A47D11">
            <w:pPr>
              <w:rPr>
                <w:lang w:val="fr-FR"/>
              </w:rPr>
            </w:pPr>
          </w:p>
        </w:tc>
      </w:tr>
    </w:tbl>
    <w:p w:rsidR="00BF2BB1" w:rsidRPr="00C05350" w:rsidRDefault="00BF2BB1" w:rsidP="00BF2BB1">
      <w:pPr>
        <w:rPr>
          <w:lang w:val="fr-BE"/>
        </w:rPr>
      </w:pPr>
    </w:p>
    <w:p w:rsidR="00BF2BB1" w:rsidRDefault="00BF2BB1">
      <w:pPr>
        <w:jc w:val="left"/>
        <w:rPr>
          <w:lang w:val="fr-BE"/>
        </w:rPr>
      </w:pPr>
      <w:r w:rsidRPr="00C05350">
        <w:rPr>
          <w:lang w:val="fr-BE"/>
        </w:rPr>
        <w:br w:type="page"/>
      </w:r>
    </w:p>
    <w:p w:rsidR="0053513C" w:rsidRDefault="0053513C" w:rsidP="0053513C">
      <w:pPr>
        <w:rPr>
          <w:lang w:val="fr-BE"/>
        </w:rPr>
      </w:pPr>
    </w:p>
    <w:p w:rsidR="000C1ED5" w:rsidRPr="0052522C" w:rsidRDefault="000C1ED5" w:rsidP="00A70AF4">
      <w:pPr>
        <w:pStyle w:val="Kop2"/>
      </w:pPr>
      <w:bookmarkStart w:id="3" w:name="_Toc496177857"/>
      <w:r w:rsidRPr="0052522C">
        <w:t>Maîtrise des déviations de procédé</w:t>
      </w:r>
      <w:bookmarkEnd w:id="3"/>
    </w:p>
    <w:tbl>
      <w:tblPr>
        <w:tblStyle w:val="Tabelraster"/>
        <w:tblW w:w="0" w:type="auto"/>
        <w:tblInd w:w="562" w:type="dxa"/>
        <w:tblLook w:val="04A0" w:firstRow="1" w:lastRow="0" w:firstColumn="1" w:lastColumn="0" w:noHBand="0" w:noVBand="1"/>
      </w:tblPr>
      <w:tblGrid>
        <w:gridCol w:w="8505"/>
        <w:gridCol w:w="4925"/>
      </w:tblGrid>
      <w:tr w:rsidR="003933FE" w:rsidRPr="00B42730" w:rsidTr="004108BE">
        <w:tc>
          <w:tcPr>
            <w:tcW w:w="8505" w:type="dxa"/>
          </w:tcPr>
          <w:p w:rsidR="003933FE" w:rsidRPr="003933FE" w:rsidRDefault="003933FE" w:rsidP="00244C49">
            <w:pPr>
              <w:pStyle w:val="Kop3"/>
            </w:pPr>
            <w:r w:rsidRPr="003933FE">
              <w:t>Mise sous pression du réservoir via la pompe de remplissage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B42730">
            <w:pPr>
              <w:pStyle w:val="Toelichtingscenario"/>
              <w:spacing w:before="120" w:after="120"/>
              <w:rPr>
                <w:lang w:val="fr-BE"/>
              </w:rPr>
            </w:pPr>
            <w:r w:rsidRPr="003933FE">
              <w:rPr>
                <w:lang w:val="fr-BE"/>
              </w:rPr>
              <w:t xml:space="preserve">Il existe différentes causes possibles pouvant mener à la mise sous pression du réservoir via la pompe de remplissage. Celles-ci dépendent de la manière dont le réservoir est rempli : avec retour vapeur, avec réglage de la pression ou sans retour vapeur (vers le réservoir de transport ou vers le traitement des effluents gazeux). </w:t>
            </w:r>
          </w:p>
        </w:tc>
        <w:tc>
          <w:tcPr>
            <w:tcW w:w="4925" w:type="dxa"/>
          </w:tcPr>
          <w:p w:rsidR="003933FE" w:rsidRPr="003933FE" w:rsidRDefault="003933FE" w:rsidP="00B42730">
            <w:pPr>
              <w:spacing w:before="120" w:after="120"/>
              <w:rPr>
                <w:lang w:val="fr-BE"/>
              </w:rPr>
            </w:pPr>
          </w:p>
        </w:tc>
      </w:tr>
      <w:tr w:rsidR="003933FE" w:rsidRPr="00B42730" w:rsidTr="004108BE">
        <w:tc>
          <w:tcPr>
            <w:tcW w:w="8505" w:type="dxa"/>
          </w:tcPr>
          <w:p w:rsidR="003933FE" w:rsidRPr="003933FE" w:rsidRDefault="003933FE" w:rsidP="00B42730">
            <w:pPr>
              <w:pStyle w:val="Toelichtingscenario"/>
              <w:spacing w:before="120" w:after="120"/>
              <w:rPr>
                <w:lang w:val="fr-BE"/>
              </w:rPr>
            </w:pPr>
            <w:r w:rsidRPr="003933FE">
              <w:rPr>
                <w:lang w:val="fr-BE"/>
              </w:rPr>
              <w:t>Lors d’un remplissage avec retour de vapeur, la phase vapeur du réservoir est en liaison permanente (via la conduite de retour vapeur) avec le réservoir de transport. Cette méthode de travail est utilisée en présence de gaz inertes ou lorsque les vapeurs ne se condensent pas suffisamment rapidement pour prévenir une augmentation (trop élevée) de la pression dans le réservoir. Lorsque, avant le remplissage, une vanne sur la conduite de retour vapeur n’est pas ouverte ou est fermée pendant le remplissage, le réservoir peut être mis sous pression via la pompe de remplissage.</w:t>
            </w:r>
          </w:p>
        </w:tc>
        <w:tc>
          <w:tcPr>
            <w:tcW w:w="4925" w:type="dxa"/>
          </w:tcPr>
          <w:p w:rsidR="003933FE" w:rsidRPr="003933FE" w:rsidRDefault="003933FE" w:rsidP="00B42730">
            <w:pPr>
              <w:spacing w:before="120" w:after="120"/>
              <w:rPr>
                <w:lang w:val="fr-BE"/>
              </w:rPr>
            </w:pPr>
          </w:p>
        </w:tc>
      </w:tr>
      <w:tr w:rsidR="003933FE" w:rsidRPr="00B42730" w:rsidTr="004108BE">
        <w:tc>
          <w:tcPr>
            <w:tcW w:w="8505" w:type="dxa"/>
          </w:tcPr>
          <w:p w:rsidR="003933FE" w:rsidRPr="003933FE" w:rsidRDefault="003933FE" w:rsidP="00B42730">
            <w:pPr>
              <w:pStyle w:val="Toelichtingscenario"/>
              <w:spacing w:before="120" w:after="120"/>
              <w:rPr>
                <w:lang w:val="fr-BE"/>
              </w:rPr>
            </w:pPr>
            <w:r w:rsidRPr="003933FE">
              <w:rPr>
                <w:lang w:val="fr-BE"/>
              </w:rPr>
              <w:t>Lors d’un remplissage avec un réglage de la pression, la phase vapeur est reliée à une unité de traitement des effluents gazeux. Des éventuels gaz inertes sont de cette manière éliminés. Dans cette configuration, une pression élevée peut apparaître à cause d’une vanne manuelle fermée dans la conduite des effluents gazeux ou à cause de la défaillance en position fermée d’une vanne de régulation de la pression.</w:t>
            </w:r>
          </w:p>
        </w:tc>
        <w:tc>
          <w:tcPr>
            <w:tcW w:w="4925" w:type="dxa"/>
          </w:tcPr>
          <w:p w:rsidR="003933FE" w:rsidRPr="003933FE" w:rsidRDefault="003933FE" w:rsidP="00B42730">
            <w:pPr>
              <w:spacing w:before="120" w:after="120"/>
              <w:rPr>
                <w:lang w:val="fr-BE"/>
              </w:rPr>
            </w:pPr>
          </w:p>
        </w:tc>
      </w:tr>
      <w:tr w:rsidR="003933FE" w:rsidRPr="00B42730" w:rsidTr="004108BE">
        <w:tc>
          <w:tcPr>
            <w:tcW w:w="8505" w:type="dxa"/>
          </w:tcPr>
          <w:p w:rsidR="003933FE" w:rsidRPr="003933FE" w:rsidRDefault="003933FE" w:rsidP="00B42730">
            <w:pPr>
              <w:pStyle w:val="Toelichtingscenario"/>
              <w:spacing w:before="120" w:after="120"/>
              <w:rPr>
                <w:lang w:val="fr-BE"/>
              </w:rPr>
            </w:pPr>
            <w:r w:rsidRPr="003933FE">
              <w:rPr>
                <w:lang w:val="fr-BE"/>
              </w:rPr>
              <w:t xml:space="preserve">Lors d’un remplissage sans retour vapeur, on compte sur le fait que la condensation de la phase vapeur a lieu suffisamment rapidement de sorte qu’il n’y ait aucune accumulation de vapeurs dans la phase gazeuse. Pour ce faire, on va s’assurer d’un bon contact entre la phase liquide et la phase vapeur, typiquement en alimentant la phase vapeur via une conduite de pulvérisation dans le haut du réservoir. Un remplissage sans phase vapeur est seulement possible lorsque l’on ne s’attend pas à avoir des gaz incondensables. Lorsque ceux-ci sont malgré tout présents, la pompe de remplissage peut mettre le réservoir sous pression. Le réservoir peut aussi être mis sous pression si celui-ci est complètement rempli </w:t>
            </w:r>
            <w:r w:rsidRPr="003933FE">
              <w:rPr>
                <w:lang w:val="fr-BE"/>
              </w:rPr>
              <w:lastRenderedPageBreak/>
              <w:t>avec du liquide. Les soupapes de sécurité sur le réservoir ne sont en principe pas conçues pour évacuer des gaz liquéfiés.</w:t>
            </w:r>
          </w:p>
        </w:tc>
        <w:tc>
          <w:tcPr>
            <w:tcW w:w="4925" w:type="dxa"/>
          </w:tcPr>
          <w:p w:rsidR="003933FE" w:rsidRPr="003933FE" w:rsidRDefault="003933FE" w:rsidP="00B42730">
            <w:pPr>
              <w:spacing w:before="120" w:after="120"/>
              <w:rPr>
                <w:lang w:val="fr-BE"/>
              </w:rPr>
            </w:pPr>
          </w:p>
        </w:tc>
      </w:tr>
      <w:tr w:rsidR="003933FE" w:rsidRPr="00B42730" w:rsidTr="004108BE">
        <w:tc>
          <w:tcPr>
            <w:tcW w:w="8505" w:type="dxa"/>
          </w:tcPr>
          <w:p w:rsidR="003933FE" w:rsidRPr="003933FE" w:rsidRDefault="003933FE" w:rsidP="00244C49">
            <w:pPr>
              <w:pStyle w:val="Maatregel"/>
              <w:numPr>
                <w:ilvl w:val="0"/>
                <w:numId w:val="2"/>
              </w:numPr>
              <w:tabs>
                <w:tab w:val="clear" w:pos="3686"/>
                <w:tab w:val="num" w:pos="567"/>
              </w:tabs>
              <w:ind w:left="567"/>
              <w:rPr>
                <w:lang w:val="fr-BE"/>
              </w:rPr>
            </w:pPr>
            <w:r w:rsidRPr="003933FE">
              <w:rPr>
                <w:lang w:val="fr-BE"/>
              </w:rPr>
              <w:t>Sécurité instrumentale contre une pression élevée</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
              <w:ind w:left="0"/>
            </w:pPr>
            <w:r w:rsidRPr="003933FE">
              <w:t>Actions</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insprong1"/>
              <w:numPr>
                <w:ilvl w:val="1"/>
                <w:numId w:val="23"/>
              </w:numPr>
            </w:pPr>
            <w:r w:rsidRPr="003933FE">
              <w:t>En cas de pression élevée dans le réservoir, l’alimentation en liquide est stoppée.</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
              <w:ind w:left="0"/>
            </w:pPr>
            <w:r w:rsidRPr="003933FE">
              <w:t>Indépendance</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insprong1"/>
              <w:numPr>
                <w:ilvl w:val="1"/>
                <w:numId w:val="23"/>
              </w:numPr>
            </w:pPr>
            <w:r w:rsidRPr="003933FE">
              <w:t>La sécurité est indépendante de l’éventuel contrôle de la pression dans le réservoir.</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
              <w:ind w:left="0"/>
            </w:pPr>
            <w:r w:rsidRPr="003933FE">
              <w:t>Inspection</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insprong1"/>
            </w:pPr>
            <w:r w:rsidRPr="003933FE">
              <w:t>La sécurité est testée tous les ans (à moins que ce soit déterminé différemment sur base d’une analyse de fiabilité).</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Maatregel"/>
              <w:numPr>
                <w:ilvl w:val="0"/>
                <w:numId w:val="2"/>
              </w:numPr>
              <w:tabs>
                <w:tab w:val="clear" w:pos="3686"/>
                <w:tab w:val="num" w:pos="567"/>
              </w:tabs>
              <w:ind w:left="567"/>
            </w:pPr>
            <w:r w:rsidRPr="003933FE">
              <w:t>Soupape(s) de sécurité</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Les soupapes de sécurité peuvent être prises en compte comme mesure de sécurité pour un scénario d’accident uniquement s’il peut être démontré qu’elles sont dimensionnées pour ce scénario. Pour ce faire, on tient compte du débit maximal de remplissage qui peut être attendu.</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
              <w:ind w:left="0"/>
            </w:pPr>
            <w:r w:rsidRPr="003933FE">
              <w:t>Les calculs donnent:</w:t>
            </w:r>
          </w:p>
        </w:tc>
        <w:tc>
          <w:tcPr>
            <w:tcW w:w="4925" w:type="dxa"/>
          </w:tcPr>
          <w:p w:rsidR="003933FE" w:rsidRPr="003933FE" w:rsidRDefault="003933FE" w:rsidP="003933FE"/>
        </w:tc>
      </w:tr>
      <w:tr w:rsidR="003933FE" w:rsidRPr="003933FE" w:rsidTr="004108BE">
        <w:tc>
          <w:tcPr>
            <w:tcW w:w="8505" w:type="dxa"/>
          </w:tcPr>
          <w:p w:rsidR="003933FE" w:rsidRPr="003933FE" w:rsidRDefault="003933FE" w:rsidP="00244C49">
            <w:pPr>
              <w:pStyle w:val="Toelichtingvraag"/>
              <w:numPr>
                <w:ilvl w:val="0"/>
                <w:numId w:val="40"/>
              </w:numPr>
            </w:pPr>
            <w:r w:rsidRPr="003933FE">
              <w:t>la capacité nécessaire</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
              <w:numPr>
                <w:ilvl w:val="0"/>
                <w:numId w:val="40"/>
              </w:numPr>
              <w:rPr>
                <w:lang w:val="fr-BE"/>
              </w:rPr>
            </w:pPr>
            <w:r w:rsidRPr="003933FE">
              <w:rPr>
                <w:lang w:val="fr-BE"/>
              </w:rPr>
              <w:t>la capacité effective de la soupape de sécurité installée.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Si les soupapes de sécurité donnent à l’air libre, les risques de cette libération dans l’atmosphère doivent alors être évalués. La libération via les soupapes de sécurité peut être rendue moins probable via une sécurité instrumentale contre une pression élevée.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Kop3"/>
            </w:pPr>
            <w:r w:rsidRPr="003933FE">
              <w:lastRenderedPageBreak/>
              <w:t>Surpression par polymérisation</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Mesure"/>
            </w:pPr>
            <w:r w:rsidRPr="003933FE">
              <w:t>Contrôle de la concentration en inhibiteur</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Pour certaines substances (telles que le butadiène et le chlorure de vinyle monomère), une concentration suffisante d’un inhibiteur est nécessaire pour prévenir la polymérisation.</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Un contrôle de la concentration en inhibiteur est réalisé:</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insprong1"/>
            </w:pPr>
            <w:r w:rsidRPr="003933FE">
              <w:t>à la livraison</w:t>
            </w:r>
          </w:p>
        </w:tc>
        <w:tc>
          <w:tcPr>
            <w:tcW w:w="4925" w:type="dxa"/>
          </w:tcPr>
          <w:p w:rsidR="003933FE" w:rsidRPr="003933FE" w:rsidRDefault="003933FE" w:rsidP="003933FE"/>
        </w:tc>
      </w:tr>
      <w:tr w:rsidR="003933FE" w:rsidRPr="003933FE" w:rsidTr="004108BE">
        <w:tc>
          <w:tcPr>
            <w:tcW w:w="8505" w:type="dxa"/>
          </w:tcPr>
          <w:p w:rsidR="003933FE" w:rsidRPr="003933FE" w:rsidRDefault="003933FE" w:rsidP="00244C49">
            <w:pPr>
              <w:pStyle w:val="toelichtingvraaginsprong1"/>
            </w:pPr>
            <w:r w:rsidRPr="003933FE">
              <w:t>périodiquement (par ex. mensuel).</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Mesure"/>
            </w:pPr>
            <w:r w:rsidRPr="003933FE">
              <w:t>Alarme de température ou de pression</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b/>
                <w:lang w:val="fr-BE"/>
              </w:rPr>
            </w:pPr>
            <w:r w:rsidRPr="003933FE">
              <w:rPr>
                <w:lang w:val="fr-BE"/>
              </w:rPr>
              <w:t>L’alarme de température ou de pression permet de suivre les conditions dans le réservoir de stockage. Les actions à prendre alors sont décrites dans une instruction. L'alarme est donnée là où il y a une surveillance permanente. Une alternative à une alarme de température élevée est une alarme sur la vitesse d'augmentation de la température.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Mesure"/>
            </w:pPr>
            <w:r w:rsidRPr="003933FE">
              <w:t>Soupape(s) de sécurité dimensionnée(s) pour le scénario de polymérisation</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 xml:space="preserve">La soupape de sécurité (ou un ensemble de plusieurs soupapes de sécurité) peut uniquement être acceptée comme mesure pour le scénario de polymérisation s'il peut être démontré (à l'aide de calculs) qu’elle a été dimensionnée pour ce scénario. Pour ce faire, on tient compre des conditions les plus défavorables pouvant se présenter en pratique. </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
              <w:tabs>
                <w:tab w:val="num" w:pos="1134"/>
              </w:tabs>
              <w:ind w:left="0"/>
              <w:rPr>
                <w:lang w:val="fr-BE"/>
              </w:rPr>
            </w:pPr>
            <w:r w:rsidRPr="003933FE">
              <w:rPr>
                <w:lang w:val="fr-BE"/>
              </w:rPr>
              <w:t>Les calculs donnent:</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insprong1"/>
              <w:rPr>
                <w:b/>
                <w:bCs/>
              </w:rPr>
            </w:pPr>
            <w:r w:rsidRPr="003933FE">
              <w:t>la capacité exigée</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insprong1"/>
              <w:rPr>
                <w:b/>
                <w:bCs/>
              </w:rPr>
            </w:pPr>
            <w:r w:rsidRPr="003933FE">
              <w:t>la capacité réelle de la soupape de sécurité installée.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tabs>
                <w:tab w:val="num" w:pos="1134"/>
              </w:tabs>
              <w:ind w:left="0"/>
              <w:rPr>
                <w:lang w:val="fr-BE"/>
              </w:rPr>
            </w:pPr>
            <w:r w:rsidRPr="003933FE">
              <w:rPr>
                <w:lang w:val="fr-BE"/>
              </w:rPr>
              <w:t>Si les soupapes de sécurité donnent à l’air libre, les risques de cette libération dans l’atmosphère doivent être évalués. La probabilité d’une libération via les soupapes de sécurité peut être réduite par une sécurité instrumentale contre une pression élevée.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rFonts w:cs="TTE1404D78t00"/>
                <w:iCs/>
                <w:lang w:val="fr-BE"/>
              </w:rPr>
            </w:pPr>
            <w:r w:rsidRPr="003933FE">
              <w:rPr>
                <w:rFonts w:cs="TTE1404D78t00"/>
                <w:iCs/>
                <w:lang w:val="fr-BE"/>
              </w:rPr>
              <w:lastRenderedPageBreak/>
              <w:t>Vu que lors d’un risque de polymérisation dans le réservoir, il existe également le risque qu’une polymérisation limitée empêchera le bon fonctionnement de la soupape de sécurité, on utilise typiquement un disque de rupture sous la soupape de sécurité pour ces applications.</w:t>
            </w:r>
          </w:p>
        </w:tc>
        <w:tc>
          <w:tcPr>
            <w:tcW w:w="4925" w:type="dxa"/>
          </w:tcPr>
          <w:p w:rsidR="003933FE" w:rsidRPr="003933FE" w:rsidRDefault="003933FE" w:rsidP="003933FE">
            <w:pPr>
              <w:rPr>
                <w:rFonts w:cs="TTE1404D78t00"/>
                <w:iCs/>
                <w:lang w:val="fr-BE"/>
              </w:rPr>
            </w:pPr>
          </w:p>
        </w:tc>
      </w:tr>
      <w:tr w:rsidR="003933FE" w:rsidRPr="00B42730" w:rsidTr="004108BE">
        <w:tc>
          <w:tcPr>
            <w:tcW w:w="8505" w:type="dxa"/>
          </w:tcPr>
          <w:p w:rsidR="003933FE" w:rsidRPr="003933FE" w:rsidRDefault="003933FE" w:rsidP="00244C49">
            <w:pPr>
              <w:pStyle w:val="Kop3"/>
            </w:pPr>
            <w:r w:rsidRPr="003933FE">
              <w:t>Mise sous pression par expansion thermique après surremplissage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vraag0"/>
              <w:ind w:left="0"/>
            </w:pPr>
            <w:r w:rsidRPr="003933FE">
              <w:t>Les réservoirs avec des gaz liquéfiés ont un taux de remplissage maximal déterminé de manière à ce qu’il y ait suffisamment d’espace libre afin de contenir l’expansion thermique du gaz liquéfié.</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vraag0"/>
              <w:ind w:left="0"/>
            </w:pPr>
            <w:r w:rsidRPr="003933FE">
              <w:t>On peut donc parler de surremplissage dès que ce taux maximal de remplissage est dépassé. Ce dépassement ne donnera pas immédiatement lieu à une libération de gaz, mais peut donner lieu au fil du temps à une augmentation de la pression dans le réservoir due à l’expansion thermique. La soupape de sécurité va s’ouvrir et du gaz sera libéré via cette voie.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vraag0"/>
              <w:ind w:left="0"/>
              <w:rPr>
                <w:b/>
              </w:rPr>
            </w:pPr>
            <w:r w:rsidRPr="003933FE">
              <w:t>Lorsque le remplissage est poursuivi après que le réservoir ait été complètement rempli (le taux de remplissage maximal est alors dépassé depuis longtemps), le gaz liquéfié va affluer dans la tuyauterie de retour gaz (dans le cas où la tuyauterie de retour gaz est connectée). Dans ce cas aussi, il n’y aura pas immédiatement une libération, mais on introduit par contre le risque que des gaz liquéfiés soient libérés lors de la déconnexion d’un flexible dans lequel on ne s’attend normalement pas à la présence de liquide.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Mesure"/>
              <w:rPr>
                <w:szCs w:val="20"/>
              </w:rPr>
            </w:pPr>
            <w:r w:rsidRPr="003933FE">
              <w:t xml:space="preserve">Contrôle de l'espace libre suffisant </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strike/>
                <w:szCs w:val="20"/>
                <w:lang w:val="fr-BE"/>
              </w:rPr>
            </w:pPr>
            <w:r w:rsidRPr="003933FE">
              <w:rPr>
                <w:lang w:val="fr-BE"/>
              </w:rPr>
              <w:t>Il s’agit de la vérification de la présence d’un espace libre suffisant dans le réservoir avant la commande d’une quantité déterminée et avant le démarrage du remplissage. Ce contrôle de l'espace libre avant remplissage est repris dans les instructions de déchargement et en tenant compte du taux maximum de remplissage.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Mesure"/>
            </w:pPr>
            <w:r w:rsidRPr="003933FE">
              <w:t>Mesure de niveau en continu avec une alarme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Cette alarme n'est pas une alternative pour une sécurité automatique de surremplissage.</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
              <w:ind w:left="0"/>
              <w:rPr>
                <w:lang w:val="fr-BE"/>
              </w:rPr>
            </w:pPr>
            <w:r w:rsidRPr="003933FE">
              <w:rPr>
                <w:lang w:val="fr-BE"/>
              </w:rPr>
              <w:t>Instruction</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insprong1"/>
            </w:pPr>
            <w:r w:rsidRPr="003933FE">
              <w:lastRenderedPageBreak/>
              <w:t>Le signal d’alarme est donné au niveau du poste de (dé)chargement et en un lieu où du personnel est présent en permanence (par ex. en salle de contrôle).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insprong1"/>
            </w:pPr>
            <w:r w:rsidRPr="003933FE">
              <w:t>La réaction appropriée en cas d'alarme est reprise dans l’instruction de (dé)chargement.</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insprong1"/>
            </w:pPr>
            <w:r w:rsidRPr="003933FE">
              <w:t>La consigne d'alarme est fixée de manière à avoir encore suffisamment de temps pour intervenir.</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
              <w:ind w:left="0"/>
              <w:rPr>
                <w:lang w:val="fr-BE"/>
              </w:rPr>
            </w:pPr>
            <w:r w:rsidRPr="003933FE">
              <w:rPr>
                <w:lang w:val="fr-BE"/>
              </w:rPr>
              <w:t>Inspection</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insprong1"/>
            </w:pPr>
            <w:r w:rsidRPr="003933FE">
              <w:t>La mesure de niveau et l’alarme sont contrôlées périodiquement pour s'assurer de leur bon fonctionnement.</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Mesure"/>
              <w:rPr>
                <w:szCs w:val="20"/>
              </w:rPr>
            </w:pPr>
            <w:r w:rsidRPr="003933FE">
              <w:t>Système anti-débordement du réservoir</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
              <w:ind w:left="0"/>
              <w:rPr>
                <w:lang w:val="fr-BE"/>
              </w:rPr>
            </w:pPr>
            <w:r w:rsidRPr="003933FE">
              <w:rPr>
                <w:lang w:val="fr-BE"/>
              </w:rPr>
              <w:t>Actions</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insprong1"/>
            </w:pPr>
            <w:r w:rsidRPr="003933FE">
              <w:t xml:space="preserve">Le système anti-débordement génère une action par laquelle toute alimentation en liquides est stoppée automatiquement avant que le taux de remplissage maximal ne soit atteint. Des actions possibles sont: </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insprong2"/>
              <w:numPr>
                <w:ilvl w:val="0"/>
                <w:numId w:val="8"/>
              </w:numPr>
              <w:rPr>
                <w:lang w:eastAsia="nl-BE"/>
              </w:rPr>
            </w:pPr>
            <w:r w:rsidRPr="003933FE">
              <w:rPr>
                <w:lang w:eastAsia="nl-BE"/>
              </w:rPr>
              <w:t>la fermeture d’une vanne automatique placée sur la tuyauterie de remplissage</w:t>
            </w:r>
          </w:p>
        </w:tc>
        <w:tc>
          <w:tcPr>
            <w:tcW w:w="4925" w:type="dxa"/>
          </w:tcPr>
          <w:p w:rsidR="003933FE" w:rsidRPr="003933FE" w:rsidRDefault="003933FE" w:rsidP="003933FE">
            <w:pPr>
              <w:rPr>
                <w:lang w:val="fr-FR" w:eastAsia="nl-BE"/>
              </w:rPr>
            </w:pPr>
          </w:p>
        </w:tc>
      </w:tr>
      <w:tr w:rsidR="003933FE" w:rsidRPr="003933FE" w:rsidTr="004108BE">
        <w:tc>
          <w:tcPr>
            <w:tcW w:w="8505" w:type="dxa"/>
          </w:tcPr>
          <w:p w:rsidR="003933FE" w:rsidRPr="003933FE" w:rsidRDefault="003933FE" w:rsidP="00244C49">
            <w:pPr>
              <w:pStyle w:val="toelichtingvraaginsprong2"/>
              <w:numPr>
                <w:ilvl w:val="0"/>
                <w:numId w:val="8"/>
              </w:numPr>
            </w:pPr>
            <w:r w:rsidRPr="003933FE">
              <w:rPr>
                <w:lang w:eastAsia="nl-BE"/>
              </w:rPr>
              <w:t>l’arrêt des pompes.</w:t>
            </w:r>
          </w:p>
        </w:tc>
        <w:tc>
          <w:tcPr>
            <w:tcW w:w="4925" w:type="dxa"/>
          </w:tcPr>
          <w:p w:rsidR="003933FE" w:rsidRPr="003933FE" w:rsidRDefault="003933FE" w:rsidP="003933FE">
            <w:pPr>
              <w:rPr>
                <w:lang w:eastAsia="nl-BE"/>
              </w:rPr>
            </w:pPr>
          </w:p>
        </w:tc>
      </w:tr>
      <w:tr w:rsidR="003933FE" w:rsidRPr="00B42730" w:rsidTr="004108BE">
        <w:tc>
          <w:tcPr>
            <w:tcW w:w="8505" w:type="dxa"/>
          </w:tcPr>
          <w:p w:rsidR="003933FE" w:rsidRPr="003933FE" w:rsidRDefault="003933FE" w:rsidP="00244C49">
            <w:pPr>
              <w:pStyle w:val="toelichtingvraaginsprong1"/>
              <w:rPr>
                <w:lang w:eastAsia="nl-BE"/>
              </w:rPr>
            </w:pPr>
            <w:r w:rsidRPr="003933FE">
              <w:rPr>
                <w:lang w:eastAsia="nl-BE"/>
              </w:rPr>
              <w:t>Pour l’arrêt du remplissage du réservoir de stockage, la même vanne de pied automatique, qui est nécessaire pour pouvoir fermer le réservoir en cas d’incendie, peut être utilisée.</w:t>
            </w:r>
          </w:p>
        </w:tc>
        <w:tc>
          <w:tcPr>
            <w:tcW w:w="4925" w:type="dxa"/>
          </w:tcPr>
          <w:p w:rsidR="003933FE" w:rsidRPr="003933FE" w:rsidRDefault="003933FE" w:rsidP="003933FE">
            <w:pPr>
              <w:rPr>
                <w:lang w:val="fr-FR" w:eastAsia="nl-BE"/>
              </w:rPr>
            </w:pPr>
          </w:p>
        </w:tc>
      </w:tr>
      <w:tr w:rsidR="003933FE" w:rsidRPr="003933FE" w:rsidTr="004108BE">
        <w:tc>
          <w:tcPr>
            <w:tcW w:w="8505" w:type="dxa"/>
          </w:tcPr>
          <w:p w:rsidR="003933FE" w:rsidRPr="003933FE" w:rsidRDefault="003933FE" w:rsidP="00244C49">
            <w:pPr>
              <w:pStyle w:val="Toelichtingvraag"/>
              <w:ind w:left="0"/>
              <w:rPr>
                <w:lang w:val="fr-BE"/>
              </w:rPr>
            </w:pPr>
            <w:r w:rsidRPr="003933FE">
              <w:rPr>
                <w:lang w:val="fr-BE"/>
              </w:rPr>
              <w:t>Indépendance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insprong1"/>
            </w:pPr>
            <w:r w:rsidRPr="003933FE">
              <w:t>La protection contre le surremplissage ou le système anti-débordement doit être indépendante du contrôle de niveau lors du remplissage. La protection doit en effet intervenir si, lors du contrôle du processus de remplissage, une erreur apparait, comme par exemple:</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insprong2"/>
              <w:numPr>
                <w:ilvl w:val="0"/>
                <w:numId w:val="8"/>
              </w:numPr>
              <w:rPr>
                <w:lang w:val="en-US"/>
              </w:rPr>
            </w:pPr>
            <w:r w:rsidRPr="003933FE">
              <w:lastRenderedPageBreak/>
              <w:t>une fausse mesure</w:t>
            </w:r>
          </w:p>
        </w:tc>
        <w:tc>
          <w:tcPr>
            <w:tcW w:w="4925" w:type="dxa"/>
          </w:tcPr>
          <w:p w:rsidR="003933FE" w:rsidRPr="003933FE" w:rsidRDefault="003933FE" w:rsidP="003933FE"/>
        </w:tc>
      </w:tr>
      <w:tr w:rsidR="003933FE" w:rsidRPr="003933FE" w:rsidTr="004108BE">
        <w:tc>
          <w:tcPr>
            <w:tcW w:w="8505" w:type="dxa"/>
          </w:tcPr>
          <w:p w:rsidR="003933FE" w:rsidRPr="003933FE" w:rsidRDefault="003933FE" w:rsidP="00244C49">
            <w:pPr>
              <w:pStyle w:val="toelichtingvraaginsprong2"/>
              <w:numPr>
                <w:ilvl w:val="0"/>
                <w:numId w:val="8"/>
              </w:numPr>
              <w:rPr>
                <w:lang w:val="en-US"/>
              </w:rPr>
            </w:pPr>
            <w:r w:rsidRPr="003933FE">
              <w:t>une erreur de l’opérateur.</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insprong1"/>
            </w:pPr>
            <w:r w:rsidRPr="003933FE">
              <w:t>Ceci implique que la protection contre le surremplissage doit être commandée par un autre instrument de mesure que celui utilisé pour le contrôle du niveau.</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
              <w:ind w:left="0"/>
              <w:rPr>
                <w:szCs w:val="20"/>
                <w:lang w:val="fr-BE"/>
              </w:rPr>
            </w:pPr>
            <w:r w:rsidRPr="003933FE">
              <w:rPr>
                <w:lang w:val="fr-BE"/>
              </w:rPr>
              <w:t>Inspection</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insprong1"/>
              <w:rPr>
                <w:b/>
                <w:bCs/>
                <w:iCs/>
              </w:rPr>
            </w:pPr>
            <w:r w:rsidRPr="003933FE">
              <w:t>Le système anti-débordement est testé 1 fois par an (à moins que ce soit déterminé différemment sur base d’une analyse de fiabilité</w:t>
            </w:r>
            <w:r w:rsidRPr="003933FE">
              <w:rPr>
                <w:iCs/>
              </w:rPr>
              <w:t>)</w:t>
            </w:r>
            <w:r w:rsidRPr="003933FE">
              <w:t xml:space="preserve">. </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insprong1"/>
              <w:rPr>
                <w:b/>
                <w:bCs/>
                <w:iCs/>
              </w:rPr>
            </w:pPr>
            <w:r w:rsidRPr="003933FE">
              <w:t xml:space="preserve">Il y a une instruction d’inspection qui détermine comment le test doit se dérouler. </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Kop3"/>
            </w:pPr>
            <w:r w:rsidRPr="003933FE">
              <w:t>Basse température lors de l’introduction de gaz liquéfiés dans un réservoir vide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B42730">
            <w:pPr>
              <w:pStyle w:val="Toelichtingscenario"/>
              <w:spacing w:before="120" w:after="120"/>
              <w:rPr>
                <w:lang w:val="fr-BE"/>
              </w:rPr>
            </w:pPr>
            <w:r w:rsidRPr="003933FE">
              <w:rPr>
                <w:lang w:val="fr-BE"/>
              </w:rPr>
              <w:t>Lorsqu’un gaz liquéfié sous pression est introduit dans un réservoir vide à pression atmosphérique (par ex. après construction, entretien ou une inspection interne), le gaz liquide va se vaporiser et à cet égard, soustraire de la chaleur à lui-même et à la partie de la paroi avec laquelle il est en contact. En conséquence, la température de la paroi du réservoir peut chuter (localement) jusqu’à la température du point d’ébullition atmosphérique du gaz.</w:t>
            </w:r>
          </w:p>
        </w:tc>
        <w:tc>
          <w:tcPr>
            <w:tcW w:w="4925" w:type="dxa"/>
          </w:tcPr>
          <w:p w:rsidR="003933FE" w:rsidRPr="003933FE" w:rsidRDefault="003933FE" w:rsidP="00B42730">
            <w:pPr>
              <w:spacing w:before="120" w:after="120"/>
              <w:rPr>
                <w:lang w:val="fr-BE"/>
              </w:rPr>
            </w:pPr>
          </w:p>
        </w:tc>
      </w:tr>
      <w:tr w:rsidR="003933FE" w:rsidRPr="00B42730" w:rsidTr="004108BE">
        <w:tc>
          <w:tcPr>
            <w:tcW w:w="8505" w:type="dxa"/>
          </w:tcPr>
          <w:p w:rsidR="003933FE" w:rsidRPr="003933FE" w:rsidRDefault="003933FE" w:rsidP="00B42730">
            <w:pPr>
              <w:pStyle w:val="Toelichtingscenario"/>
              <w:spacing w:before="120" w:after="120"/>
              <w:rPr>
                <w:lang w:val="fr-BE"/>
              </w:rPr>
            </w:pPr>
            <w:r w:rsidRPr="003933FE">
              <w:rPr>
                <w:lang w:val="fr-BE"/>
              </w:rPr>
              <w:t>En conséquence, deux problèmes se posent:</w:t>
            </w:r>
          </w:p>
        </w:tc>
        <w:tc>
          <w:tcPr>
            <w:tcW w:w="4925" w:type="dxa"/>
          </w:tcPr>
          <w:p w:rsidR="003933FE" w:rsidRPr="003933FE" w:rsidRDefault="003933FE" w:rsidP="00B42730">
            <w:pPr>
              <w:spacing w:before="120" w:after="120"/>
              <w:rPr>
                <w:lang w:val="fr-BE"/>
              </w:rPr>
            </w:pPr>
          </w:p>
        </w:tc>
      </w:tr>
      <w:tr w:rsidR="003933FE" w:rsidRPr="00B42730" w:rsidTr="004108BE">
        <w:tc>
          <w:tcPr>
            <w:tcW w:w="8505" w:type="dxa"/>
          </w:tcPr>
          <w:p w:rsidR="003933FE" w:rsidRPr="003933FE" w:rsidRDefault="003933FE" w:rsidP="00B42730">
            <w:pPr>
              <w:pStyle w:val="Opsomming1"/>
              <w:spacing w:before="120" w:after="120"/>
              <w:ind w:left="0" w:firstLine="0"/>
              <w:contextualSpacing w:val="0"/>
              <w:rPr>
                <w:sz w:val="18"/>
                <w:szCs w:val="18"/>
              </w:rPr>
            </w:pPr>
            <w:r w:rsidRPr="003933FE">
              <w:rPr>
                <w:sz w:val="18"/>
                <w:szCs w:val="18"/>
              </w:rPr>
              <w:t>La température chute jusqu’en dessous de la température minimale de conception du réservoir (dans le cas où celle-ci est plus élevée que le point d’ébullition atmosphérique du gaz).</w:t>
            </w:r>
          </w:p>
        </w:tc>
        <w:tc>
          <w:tcPr>
            <w:tcW w:w="4925" w:type="dxa"/>
          </w:tcPr>
          <w:p w:rsidR="003933FE" w:rsidRPr="003933FE" w:rsidRDefault="003933FE" w:rsidP="00B42730">
            <w:pPr>
              <w:spacing w:before="120" w:after="120"/>
              <w:rPr>
                <w:sz w:val="18"/>
                <w:szCs w:val="18"/>
                <w:lang w:val="fr-FR"/>
              </w:rPr>
            </w:pPr>
          </w:p>
        </w:tc>
      </w:tr>
      <w:tr w:rsidR="003933FE" w:rsidRPr="00B42730" w:rsidTr="004108BE">
        <w:tc>
          <w:tcPr>
            <w:tcW w:w="8505" w:type="dxa"/>
          </w:tcPr>
          <w:p w:rsidR="003933FE" w:rsidRPr="003933FE" w:rsidRDefault="003933FE" w:rsidP="00B42730">
            <w:pPr>
              <w:pStyle w:val="Opsomming1"/>
              <w:spacing w:before="120" w:after="120"/>
              <w:ind w:left="0" w:firstLine="0"/>
              <w:contextualSpacing w:val="0"/>
              <w:rPr>
                <w:sz w:val="18"/>
                <w:szCs w:val="18"/>
              </w:rPr>
            </w:pPr>
            <w:r w:rsidRPr="003933FE">
              <w:rPr>
                <w:sz w:val="18"/>
                <w:szCs w:val="18"/>
              </w:rPr>
              <w:t>De grandes différences locales de température peuvent donner lieu à de grandes tensions mécaniques dans la paroi du réservoir.</w:t>
            </w:r>
          </w:p>
        </w:tc>
        <w:tc>
          <w:tcPr>
            <w:tcW w:w="4925" w:type="dxa"/>
          </w:tcPr>
          <w:p w:rsidR="003933FE" w:rsidRPr="003933FE" w:rsidRDefault="003933FE" w:rsidP="00B42730">
            <w:pPr>
              <w:spacing w:before="120" w:after="120"/>
              <w:rPr>
                <w:sz w:val="18"/>
                <w:szCs w:val="18"/>
                <w:lang w:val="fr-FR"/>
              </w:rPr>
            </w:pPr>
          </w:p>
        </w:tc>
      </w:tr>
      <w:tr w:rsidR="003933FE" w:rsidRPr="00B42730" w:rsidTr="004108BE">
        <w:tc>
          <w:tcPr>
            <w:tcW w:w="8505" w:type="dxa"/>
          </w:tcPr>
          <w:p w:rsidR="003933FE" w:rsidRPr="003933FE" w:rsidRDefault="003933FE" w:rsidP="00244C49">
            <w:pPr>
              <w:pStyle w:val="Mesure"/>
            </w:pPr>
            <w:r w:rsidRPr="003933FE">
              <w:t>L’équipement est mis sous pression à l’aide d’un gaz avant d’y introduire le gaz liquéfié</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lastRenderedPageBreak/>
              <w:t xml:space="preserve">L’équipement est mis sous pression via un raccord en phase gazeuse avec une autre partie de l’installation. </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Une alternative pour cette mesure est l’ajout progressif de faibles quantités de gaz liquéfié.</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Mesure"/>
            </w:pPr>
            <w:r w:rsidRPr="003933FE">
              <w:t>Introduction progressive des gaz lors du démarrage</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Toelichtingvraag"/>
              <w:ind w:left="0"/>
              <w:rPr>
                <w:lang w:val="fr-BE"/>
              </w:rPr>
            </w:pPr>
            <w:r w:rsidRPr="003933FE">
              <w:rPr>
                <w:lang w:val="fr-BE"/>
              </w:rPr>
              <w:t>Jusqu'à ce que la pression d'équilibre soit atteinte (la tension de vapeur à température ambiante), les gaz liquéfiés sont introduits lentement de manière à ce qu'aucun refroidissement spontané ne puisse avoir lieu. Ce point est repris dans la procédure de démarrage.</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Cette méthode de travail constitue une alternative à la mise sous pression de l’équipement à l’aide de gaz préalablement à l’introduction du gaz liquéfié.</w:t>
            </w:r>
          </w:p>
        </w:tc>
        <w:tc>
          <w:tcPr>
            <w:tcW w:w="4925" w:type="dxa"/>
          </w:tcPr>
          <w:p w:rsidR="003933FE" w:rsidRPr="003933FE" w:rsidRDefault="003933FE" w:rsidP="003933FE">
            <w:pPr>
              <w:rPr>
                <w:lang w:val="fr-BE"/>
              </w:rPr>
            </w:pPr>
          </w:p>
        </w:tc>
      </w:tr>
      <w:tr w:rsidR="003933FE" w:rsidRPr="00B42730" w:rsidDel="00154AFA" w:rsidTr="004108BE">
        <w:tc>
          <w:tcPr>
            <w:tcW w:w="8505" w:type="dxa"/>
          </w:tcPr>
          <w:p w:rsidR="003933FE" w:rsidRPr="003933FE" w:rsidDel="00154AFA" w:rsidRDefault="003933FE" w:rsidP="00244C49">
            <w:pPr>
              <w:pStyle w:val="Kop3"/>
            </w:pPr>
            <w:r w:rsidRPr="003933FE">
              <w:t>Ecoulement des gaz inflammables liquéfiés lors de la purge de l’eau</w:t>
            </w:r>
          </w:p>
        </w:tc>
        <w:tc>
          <w:tcPr>
            <w:tcW w:w="4925" w:type="dxa"/>
          </w:tcPr>
          <w:p w:rsidR="003933FE" w:rsidRPr="003933FE" w:rsidRDefault="003933FE" w:rsidP="003933FE">
            <w:pPr>
              <w:rPr>
                <w:lang w:val="fr-FR"/>
              </w:rPr>
            </w:pPr>
          </w:p>
        </w:tc>
      </w:tr>
      <w:tr w:rsidR="00C97535" w:rsidRPr="00B42730" w:rsidTr="00551893">
        <w:trPr>
          <w:trHeight w:val="1421"/>
        </w:trPr>
        <w:tc>
          <w:tcPr>
            <w:tcW w:w="8505" w:type="dxa"/>
          </w:tcPr>
          <w:p w:rsidR="00C97535" w:rsidRPr="003933FE" w:rsidRDefault="00C97535" w:rsidP="00C97535">
            <w:pPr>
              <w:pStyle w:val="Toelichtingscenario"/>
              <w:spacing w:before="120" w:after="120"/>
              <w:rPr>
                <w:lang w:val="fr-BE"/>
              </w:rPr>
            </w:pPr>
            <w:r w:rsidRPr="003933FE">
              <w:rPr>
                <w:lang w:val="fr-BE"/>
              </w:rPr>
              <w:t>Causes possibles pour un écoulement (prolongé) de gaz liquéfié pendant le drainage:</w:t>
            </w:r>
          </w:p>
          <w:p w:rsidR="00C97535" w:rsidRPr="003933FE" w:rsidRDefault="00C97535" w:rsidP="00C97535">
            <w:pPr>
              <w:pStyle w:val="Opsomming"/>
              <w:spacing w:before="120" w:after="120"/>
              <w:rPr>
                <w:sz w:val="18"/>
              </w:rPr>
            </w:pPr>
            <w:r w:rsidRPr="003933FE">
              <w:rPr>
                <w:sz w:val="18"/>
              </w:rPr>
              <w:t>l’absence d’un opérateur</w:t>
            </w:r>
          </w:p>
          <w:p w:rsidR="00C97535" w:rsidRPr="003933FE" w:rsidRDefault="00C97535" w:rsidP="00C97535">
            <w:pPr>
              <w:pStyle w:val="Opsomming"/>
              <w:spacing w:before="120" w:after="120"/>
              <w:rPr>
                <w:lang w:val="fr-BE"/>
              </w:rPr>
            </w:pPr>
            <w:r w:rsidRPr="003933FE">
              <w:rPr>
                <w:sz w:val="18"/>
                <w:lang w:val="fr-BE"/>
              </w:rPr>
              <w:t>le givrage des vannes dans la tuyauterie de drainage à cause de la vaporisation du gaz liquéfié.</w:t>
            </w:r>
          </w:p>
        </w:tc>
        <w:tc>
          <w:tcPr>
            <w:tcW w:w="4925" w:type="dxa"/>
          </w:tcPr>
          <w:p w:rsidR="00C97535" w:rsidRPr="003933FE" w:rsidRDefault="00C97535" w:rsidP="00C97535">
            <w:pPr>
              <w:spacing w:before="120" w:after="120"/>
              <w:rPr>
                <w:lang w:val="fr-BE"/>
              </w:rPr>
            </w:pPr>
          </w:p>
        </w:tc>
      </w:tr>
      <w:tr w:rsidR="003933FE" w:rsidRPr="00B42730" w:rsidTr="004108BE">
        <w:tc>
          <w:tcPr>
            <w:tcW w:w="8505" w:type="dxa"/>
          </w:tcPr>
          <w:p w:rsidR="003933FE" w:rsidRPr="003933FE" w:rsidRDefault="003933FE" w:rsidP="00244C49">
            <w:pPr>
              <w:pStyle w:val="Mesure"/>
            </w:pPr>
            <w:r w:rsidRPr="003933FE">
              <w:t>Présence permanente d'un opérateur lors de la purge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Mesure"/>
              <w:rPr>
                <w:szCs w:val="20"/>
              </w:rPr>
            </w:pPr>
            <w:r w:rsidRPr="003933FE">
              <w:t>Opérations de purge décrites dans une instruction</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Mesure"/>
            </w:pPr>
            <w:r w:rsidRPr="003933FE">
              <w:t>La tuyauterie de drainage dispose de deux vannes d'arrêt montées en série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La première vanne est placée le plus près possible contre le réservoir et est complètement ouverte pendant le drainage. Cette vanne est de préférence une vanne quart de tour résistante au feu. De telles vannes peuvent être facilement fermées en situation d’urgence.</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
              <w:ind w:left="0"/>
            </w:pPr>
            <w:r w:rsidRPr="003933FE">
              <w:rPr>
                <w:lang w:val="fr-BE"/>
              </w:rPr>
              <w:lastRenderedPageBreak/>
              <w:t xml:space="preserve">La deuxième vanne est une vanne «homme mort» et est suffisamment éloignée de la première de manière à exclure le givrage simultané. Cette vanne est utilisée pendant le drainage afin de contrôler le débit du liquide drainé. </w:t>
            </w:r>
            <w:r w:rsidRPr="003933FE">
              <w:t>[15]</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Kop3"/>
            </w:pPr>
            <w:r w:rsidRPr="003933FE">
              <w:t>Présence de l’air lors de la mise en service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Mesure"/>
            </w:pPr>
            <w:r w:rsidRPr="003933FE">
              <w:t>Procédure de rinçage pour éviter la présence d'oxygène</w:t>
            </w:r>
          </w:p>
        </w:tc>
        <w:tc>
          <w:tcPr>
            <w:tcW w:w="4925" w:type="dxa"/>
          </w:tcPr>
          <w:p w:rsidR="003933FE" w:rsidRPr="003933FE"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eastAsia="nl-BE"/>
              </w:rPr>
            </w:pPr>
            <w:r w:rsidRPr="003933FE">
              <w:rPr>
                <w:lang w:val="fr-BE" w:eastAsia="nl-BE"/>
              </w:rPr>
              <w:t xml:space="preserve">La </w:t>
            </w:r>
            <w:r w:rsidRPr="003933FE">
              <w:rPr>
                <w:lang w:val="fr-BE"/>
              </w:rPr>
              <w:t>procédure</w:t>
            </w:r>
            <w:r w:rsidRPr="003933FE">
              <w:rPr>
                <w:lang w:val="fr-BE" w:eastAsia="nl-BE"/>
              </w:rPr>
              <w:t xml:space="preserve"> de rinçage est appliquée pour chaque mise en service.</w:t>
            </w:r>
          </w:p>
        </w:tc>
        <w:tc>
          <w:tcPr>
            <w:tcW w:w="4925" w:type="dxa"/>
          </w:tcPr>
          <w:p w:rsidR="003933FE" w:rsidRPr="003933FE" w:rsidRDefault="003933FE" w:rsidP="003933FE">
            <w:pPr>
              <w:rPr>
                <w:lang w:val="fr-BE" w:eastAsia="nl-BE"/>
              </w:rPr>
            </w:pPr>
          </w:p>
        </w:tc>
      </w:tr>
      <w:tr w:rsidR="003933FE" w:rsidRPr="00B42730" w:rsidTr="004108BE">
        <w:tc>
          <w:tcPr>
            <w:tcW w:w="8505" w:type="dxa"/>
          </w:tcPr>
          <w:p w:rsidR="003933FE" w:rsidRPr="003933FE" w:rsidRDefault="003933FE" w:rsidP="00244C49">
            <w:pPr>
              <w:pStyle w:val="Kop3"/>
            </w:pPr>
            <w:r w:rsidRPr="003933FE">
              <w:t>Expansion thermique du liquide emprisonné dans des tuyauteries</w:t>
            </w:r>
          </w:p>
        </w:tc>
        <w:tc>
          <w:tcPr>
            <w:tcW w:w="4925" w:type="dxa"/>
          </w:tcPr>
          <w:p w:rsidR="003933FE" w:rsidRPr="003933FE" w:rsidRDefault="003933FE" w:rsidP="003933FE">
            <w:pPr>
              <w:rPr>
                <w:lang w:val="fr-FR"/>
              </w:rPr>
            </w:pPr>
          </w:p>
        </w:tc>
      </w:tr>
      <w:tr w:rsidR="003933FE" w:rsidRPr="003933FE" w:rsidTr="004108BE">
        <w:tc>
          <w:tcPr>
            <w:tcW w:w="8505" w:type="dxa"/>
          </w:tcPr>
          <w:p w:rsidR="003933FE" w:rsidRPr="003933FE" w:rsidRDefault="003933FE" w:rsidP="00244C49">
            <w:pPr>
              <w:pStyle w:val="Mesure"/>
            </w:pPr>
            <w:r w:rsidRPr="003933FE">
              <w:t>Soupapes pour l'expansion thermique</w:t>
            </w:r>
          </w:p>
        </w:tc>
        <w:tc>
          <w:tcPr>
            <w:tcW w:w="4925" w:type="dxa"/>
          </w:tcPr>
          <w:p w:rsidR="003933FE" w:rsidRPr="003933FE" w:rsidRDefault="003933FE" w:rsidP="003933FE"/>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 xml:space="preserve">Des soupapes d’expansion thermique sont prévues sur les parties de tuyauteries, qui peuvent être isolées entre deux vannes. </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Il y a un contrôle périodique sur la position ouverte des vannes manuelles, qui isolent des sections de tuyauteries sans soupape pour l’expansion thermique.</w:t>
            </w:r>
          </w:p>
        </w:tc>
        <w:tc>
          <w:tcPr>
            <w:tcW w:w="4925" w:type="dxa"/>
          </w:tcPr>
          <w:p w:rsidR="003933FE" w:rsidRPr="003933FE" w:rsidRDefault="003933FE" w:rsidP="003933FE">
            <w:pPr>
              <w:rPr>
                <w:lang w:val="fr-BE"/>
              </w:rPr>
            </w:pPr>
          </w:p>
        </w:tc>
      </w:tr>
      <w:tr w:rsidR="003933FE" w:rsidRPr="003933FE" w:rsidTr="004108BE">
        <w:tc>
          <w:tcPr>
            <w:tcW w:w="8505" w:type="dxa"/>
          </w:tcPr>
          <w:p w:rsidR="003933FE" w:rsidRPr="003933FE" w:rsidRDefault="003933FE" w:rsidP="00244C49">
            <w:pPr>
              <w:pStyle w:val="Toelichtingvraag"/>
              <w:ind w:left="0"/>
              <w:rPr>
                <w:lang w:val="fr-BE"/>
              </w:rPr>
            </w:pPr>
            <w:r w:rsidRPr="003933FE">
              <w:rPr>
                <w:lang w:val="fr-BE"/>
              </w:rPr>
              <w:t>Inspection</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insprong1"/>
              <w:rPr>
                <w:szCs w:val="20"/>
              </w:rPr>
            </w:pPr>
            <w:r w:rsidRPr="003933FE">
              <w:t>Les soupapes pour l'expansion thermique sont reprises dans un programme de maintenance périodique.</w:t>
            </w:r>
          </w:p>
        </w:tc>
        <w:tc>
          <w:tcPr>
            <w:tcW w:w="4925" w:type="dxa"/>
          </w:tcPr>
          <w:p w:rsidR="003933FE" w:rsidRPr="004108BE" w:rsidRDefault="003933FE" w:rsidP="003933FE">
            <w:pPr>
              <w:rPr>
                <w:lang w:val="fr-FR"/>
              </w:rPr>
            </w:pPr>
          </w:p>
        </w:tc>
      </w:tr>
      <w:tr w:rsidR="003933FE" w:rsidRPr="003933FE" w:rsidTr="004108BE">
        <w:tc>
          <w:tcPr>
            <w:tcW w:w="8505" w:type="dxa"/>
          </w:tcPr>
          <w:p w:rsidR="003933FE" w:rsidRPr="003933FE" w:rsidRDefault="003933FE" w:rsidP="00244C49">
            <w:pPr>
              <w:pStyle w:val="Kop3"/>
            </w:pPr>
            <w:r w:rsidRPr="003933FE">
              <w:lastRenderedPageBreak/>
              <w:t>Coup de bélier</w:t>
            </w:r>
          </w:p>
        </w:tc>
        <w:tc>
          <w:tcPr>
            <w:tcW w:w="4925" w:type="dxa"/>
          </w:tcPr>
          <w:p w:rsidR="003933FE" w:rsidRPr="003933FE" w:rsidRDefault="003933FE" w:rsidP="003933FE"/>
        </w:tc>
      </w:tr>
      <w:tr w:rsidR="00C97535" w:rsidRPr="00B42730" w:rsidTr="00B77E76">
        <w:trPr>
          <w:trHeight w:val="2406"/>
        </w:trPr>
        <w:tc>
          <w:tcPr>
            <w:tcW w:w="8505" w:type="dxa"/>
          </w:tcPr>
          <w:p w:rsidR="00C97535" w:rsidRPr="003933FE" w:rsidRDefault="00C97535" w:rsidP="00C97535">
            <w:pPr>
              <w:pStyle w:val="Toelichtingscenario"/>
              <w:spacing w:before="120" w:after="120"/>
            </w:pPr>
            <w:r w:rsidRPr="003933FE">
              <w:t xml:space="preserve">L'augmentation de pression suite à la fermeture rapide d'une vanne répond par approximation à la formule suivante: </w:t>
            </w:r>
          </w:p>
          <w:p w:rsidR="00C97535" w:rsidRPr="003933FE" w:rsidRDefault="00C97535" w:rsidP="00C97535">
            <w:pPr>
              <w:pStyle w:val="Toelichtingscenario"/>
              <w:spacing w:before="120" w:after="120"/>
            </w:pPr>
            <w:r w:rsidRPr="003933FE">
              <w:t>P = w.a.v</w:t>
            </w:r>
          </w:p>
          <w:p w:rsidR="00C97535" w:rsidRPr="003933FE" w:rsidRDefault="00C97535" w:rsidP="00C97535">
            <w:pPr>
              <w:pStyle w:val="Toelichtingscenario"/>
              <w:spacing w:before="120" w:after="120"/>
            </w:pPr>
            <w:r w:rsidRPr="003933FE">
              <w:t>Dans cette formule nous avons:</w:t>
            </w:r>
          </w:p>
          <w:p w:rsidR="00C97535" w:rsidRPr="003933FE" w:rsidRDefault="00C97535" w:rsidP="00C97535">
            <w:pPr>
              <w:pStyle w:val="Toelichtingscenario"/>
              <w:spacing w:before="120" w:after="120"/>
              <w:rPr>
                <w:szCs w:val="20"/>
              </w:rPr>
            </w:pPr>
            <w:r w:rsidRPr="003933FE">
              <w:rPr>
                <w:szCs w:val="20"/>
              </w:rPr>
              <w:t xml:space="preserve">P: </w:t>
            </w:r>
            <w:r w:rsidRPr="003933FE">
              <w:t>l'augmentation de pression (Pa)</w:t>
            </w:r>
          </w:p>
          <w:p w:rsidR="00C97535" w:rsidRPr="003933FE" w:rsidRDefault="00C97535" w:rsidP="00C97535">
            <w:pPr>
              <w:pStyle w:val="Toelichtingscenario"/>
              <w:spacing w:before="120" w:after="120"/>
              <w:rPr>
                <w:szCs w:val="20"/>
              </w:rPr>
            </w:pPr>
            <w:r w:rsidRPr="003933FE">
              <w:rPr>
                <w:szCs w:val="20"/>
              </w:rPr>
              <w:t xml:space="preserve">w: </w:t>
            </w:r>
            <w:r w:rsidRPr="003933FE">
              <w:t>le poids spécifique du liquide (kg/m³)</w:t>
            </w:r>
          </w:p>
          <w:p w:rsidR="00C97535" w:rsidRPr="003933FE" w:rsidRDefault="00C97535" w:rsidP="00C97535">
            <w:pPr>
              <w:pStyle w:val="Toelichtingscenario"/>
              <w:spacing w:before="120" w:after="120"/>
              <w:rPr>
                <w:szCs w:val="20"/>
              </w:rPr>
            </w:pPr>
            <w:r w:rsidRPr="003933FE">
              <w:rPr>
                <w:szCs w:val="20"/>
              </w:rPr>
              <w:t xml:space="preserve">a: </w:t>
            </w:r>
            <w:r w:rsidRPr="003933FE">
              <w:t>la vitesse du son dans le liquide (m/s)</w:t>
            </w:r>
          </w:p>
          <w:p w:rsidR="00C97535" w:rsidRPr="003933FE" w:rsidRDefault="00C97535" w:rsidP="00C97535">
            <w:pPr>
              <w:pStyle w:val="Toelichtingscenario"/>
              <w:spacing w:before="120" w:after="120"/>
              <w:rPr>
                <w:szCs w:val="20"/>
              </w:rPr>
            </w:pPr>
            <w:r w:rsidRPr="003933FE">
              <w:rPr>
                <w:szCs w:val="20"/>
              </w:rPr>
              <w:t xml:space="preserve">v: </w:t>
            </w:r>
            <w:r w:rsidRPr="003933FE">
              <w:t>le changement de vitesse (m/s) suite à la fermeture de la vanne</w:t>
            </w:r>
            <w:r w:rsidRPr="003933FE">
              <w:rPr>
                <w:szCs w:val="20"/>
              </w:rPr>
              <w:t xml:space="preserve"> (m/s).</w:t>
            </w:r>
          </w:p>
          <w:p w:rsidR="00C97535" w:rsidRPr="003933FE" w:rsidRDefault="00C97535" w:rsidP="00C97535">
            <w:pPr>
              <w:pStyle w:val="Toelichtingscenario"/>
              <w:spacing w:before="120" w:after="120"/>
            </w:pPr>
            <w:r w:rsidRPr="003933FE">
              <w:t>Si la vanne se ferme complètement, cette vitesse est égale à la vitesse du liquide avant la fermeture de la vanne. La pression maximale pouvant survenir est cette augmentation due au coup de bélier à laquelle s’ajoute la hauteur de charge de la pompe à débit zéro.</w:t>
            </w:r>
          </w:p>
        </w:tc>
        <w:tc>
          <w:tcPr>
            <w:tcW w:w="4925" w:type="dxa"/>
          </w:tcPr>
          <w:p w:rsidR="00C97535" w:rsidRPr="00A76193" w:rsidRDefault="00C97535" w:rsidP="00C97535">
            <w:pPr>
              <w:spacing w:before="120" w:after="120"/>
              <w:rPr>
                <w:lang w:val="fr-FR"/>
              </w:rPr>
            </w:pPr>
          </w:p>
        </w:tc>
      </w:tr>
      <w:tr w:rsidR="003933FE" w:rsidRPr="00B42730" w:rsidTr="004108BE">
        <w:tc>
          <w:tcPr>
            <w:tcW w:w="8505" w:type="dxa"/>
          </w:tcPr>
          <w:p w:rsidR="003933FE" w:rsidRPr="003933FE" w:rsidRDefault="003933FE" w:rsidP="00244C49">
            <w:pPr>
              <w:pStyle w:val="Mesure"/>
            </w:pPr>
            <w:r w:rsidRPr="003933FE">
              <w:t>Vitesse de fermeture des vannes (automatiques) adaptée au réseau de tuyauteries</w:t>
            </w:r>
          </w:p>
        </w:tc>
        <w:tc>
          <w:tcPr>
            <w:tcW w:w="4925" w:type="dxa"/>
          </w:tcPr>
          <w:p w:rsidR="003933FE" w:rsidRPr="00A76193" w:rsidRDefault="003933FE" w:rsidP="003933FE">
            <w:pPr>
              <w:rPr>
                <w:lang w:val="fr-FR"/>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Le temps de fermeture est de plusieurs secondes et est fonction de la vitesse du gaz liquéfié, de la longueur de la tuyauterie, ... .</w:t>
            </w:r>
          </w:p>
        </w:tc>
        <w:tc>
          <w:tcPr>
            <w:tcW w:w="4925" w:type="dxa"/>
          </w:tcPr>
          <w:p w:rsidR="003933FE" w:rsidRPr="003933FE" w:rsidRDefault="003933FE" w:rsidP="003933FE">
            <w:pPr>
              <w:rPr>
                <w:lang w:val="fr-BE"/>
              </w:rPr>
            </w:pPr>
          </w:p>
        </w:tc>
      </w:tr>
      <w:tr w:rsidR="003933FE" w:rsidRPr="00B42730" w:rsidTr="004108BE">
        <w:tc>
          <w:tcPr>
            <w:tcW w:w="8505" w:type="dxa"/>
          </w:tcPr>
          <w:p w:rsidR="003933FE" w:rsidRPr="003933FE" w:rsidRDefault="003933FE" w:rsidP="00244C49">
            <w:pPr>
              <w:pStyle w:val="Toelichtingvraag"/>
              <w:ind w:left="0"/>
              <w:rPr>
                <w:lang w:val="fr-BE"/>
              </w:rPr>
            </w:pPr>
            <w:r w:rsidRPr="003933FE">
              <w:rPr>
                <w:lang w:val="fr-BE"/>
              </w:rPr>
              <w:t>Si la vitesse de fermeture est limitée par des moyens dont l’efficacité peut se dégrader au cours du temps, il faut régulièrement contrôler si le temps de fermeture reste suffisamment élevé.</w:t>
            </w:r>
          </w:p>
        </w:tc>
        <w:tc>
          <w:tcPr>
            <w:tcW w:w="4925" w:type="dxa"/>
          </w:tcPr>
          <w:p w:rsidR="003933FE" w:rsidRPr="003933FE" w:rsidRDefault="003933FE" w:rsidP="003933FE">
            <w:pPr>
              <w:rPr>
                <w:lang w:val="fr-BE"/>
              </w:rPr>
            </w:pPr>
          </w:p>
        </w:tc>
      </w:tr>
    </w:tbl>
    <w:p w:rsidR="00BF2BB1" w:rsidRDefault="00BF2BB1">
      <w:pPr>
        <w:jc w:val="left"/>
        <w:rPr>
          <w:rFonts w:ascii="Arial" w:hAnsi="Arial" w:cs="Arial"/>
          <w:b/>
          <w:bCs/>
          <w:i/>
          <w:iCs/>
          <w:sz w:val="36"/>
          <w:szCs w:val="36"/>
          <w:lang w:val="fr-BE"/>
        </w:rPr>
      </w:pPr>
    </w:p>
    <w:p w:rsidR="00394767" w:rsidRPr="0052522C" w:rsidRDefault="00394767" w:rsidP="00A70AF4">
      <w:pPr>
        <w:pStyle w:val="Kop2"/>
      </w:pPr>
      <w:bookmarkStart w:id="4" w:name="_Toc496177858"/>
      <w:r w:rsidRPr="0052522C">
        <w:lastRenderedPageBreak/>
        <w:t>Gestion de la dégradation</w:t>
      </w:r>
      <w:bookmarkEnd w:id="4"/>
    </w:p>
    <w:tbl>
      <w:tblPr>
        <w:tblStyle w:val="Tabelraster"/>
        <w:tblW w:w="0" w:type="auto"/>
        <w:tblInd w:w="851" w:type="dxa"/>
        <w:tblLook w:val="04A0" w:firstRow="1" w:lastRow="0" w:firstColumn="1" w:lastColumn="0" w:noHBand="0" w:noVBand="1"/>
      </w:tblPr>
      <w:tblGrid>
        <w:gridCol w:w="8075"/>
        <w:gridCol w:w="5066"/>
      </w:tblGrid>
      <w:tr w:rsidR="003933FE" w:rsidRPr="003933FE" w:rsidTr="003933FE">
        <w:tc>
          <w:tcPr>
            <w:tcW w:w="8075" w:type="dxa"/>
          </w:tcPr>
          <w:p w:rsidR="003933FE" w:rsidRPr="003933FE" w:rsidRDefault="003933FE" w:rsidP="00244C49">
            <w:pPr>
              <w:pStyle w:val="Kop3"/>
            </w:pPr>
            <w:r w:rsidRPr="003933FE">
              <w:t>Corrosion externe du réservoir</w:t>
            </w:r>
          </w:p>
        </w:tc>
        <w:tc>
          <w:tcPr>
            <w:tcW w:w="5066" w:type="dxa"/>
          </w:tcPr>
          <w:p w:rsidR="003933FE" w:rsidRPr="003933FE" w:rsidRDefault="003933FE" w:rsidP="003933FE"/>
        </w:tc>
      </w:tr>
      <w:tr w:rsidR="00C97535" w:rsidRPr="00B42730" w:rsidTr="00FA0DF3">
        <w:trPr>
          <w:trHeight w:val="856"/>
        </w:trPr>
        <w:tc>
          <w:tcPr>
            <w:tcW w:w="8075" w:type="dxa"/>
          </w:tcPr>
          <w:p w:rsidR="00C97535" w:rsidRPr="003933FE" w:rsidRDefault="00C97535" w:rsidP="00C97535">
            <w:pPr>
              <w:pStyle w:val="Toelichtingscenario"/>
              <w:spacing w:before="120" w:after="120"/>
            </w:pPr>
            <w:r w:rsidRPr="003933FE">
              <w:t xml:space="preserve">Causes possibles de corrosion externe: </w:t>
            </w:r>
          </w:p>
          <w:p w:rsidR="00C97535" w:rsidRPr="003933FE" w:rsidRDefault="00C97535" w:rsidP="00C97535">
            <w:pPr>
              <w:pStyle w:val="Opsomming"/>
              <w:spacing w:before="120" w:after="120"/>
              <w:rPr>
                <w:sz w:val="18"/>
                <w:lang w:val="fr-BE"/>
              </w:rPr>
            </w:pPr>
            <w:r w:rsidRPr="003933FE">
              <w:rPr>
                <w:sz w:val="18"/>
                <w:lang w:val="fr-BE"/>
              </w:rPr>
              <w:t>accumulation d'humidité entre l’appui et le réservoir</w:t>
            </w:r>
          </w:p>
          <w:p w:rsidR="00C97535" w:rsidRPr="003933FE" w:rsidRDefault="00C97535" w:rsidP="00C97535">
            <w:pPr>
              <w:pStyle w:val="Opsomming"/>
              <w:spacing w:before="120" w:after="120"/>
              <w:ind w:left="641" w:hanging="357"/>
            </w:pPr>
            <w:r w:rsidRPr="003933FE">
              <w:rPr>
                <w:sz w:val="18"/>
                <w:szCs w:val="18"/>
              </w:rPr>
              <w:t>exposition aux conditions atmosphériques.</w:t>
            </w:r>
          </w:p>
        </w:tc>
        <w:tc>
          <w:tcPr>
            <w:tcW w:w="5066" w:type="dxa"/>
          </w:tcPr>
          <w:p w:rsidR="00C97535" w:rsidRPr="003933FE" w:rsidRDefault="00C97535" w:rsidP="00C97535">
            <w:pPr>
              <w:spacing w:before="120" w:after="120"/>
              <w:rPr>
                <w:lang w:val="fr-FR"/>
              </w:rPr>
            </w:pPr>
          </w:p>
        </w:tc>
      </w:tr>
      <w:tr w:rsidR="003933FE" w:rsidRPr="00B42730" w:rsidTr="003933FE">
        <w:tc>
          <w:tcPr>
            <w:tcW w:w="8075" w:type="dxa"/>
          </w:tcPr>
          <w:p w:rsidR="003933FE" w:rsidRPr="003933FE" w:rsidRDefault="003933FE" w:rsidP="00244C49">
            <w:pPr>
              <w:pStyle w:val="Mesure"/>
            </w:pPr>
            <w:r w:rsidRPr="003933FE">
              <w:t>Plaques de doublage ou de renforcement au niveau des appuis</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En ce qui concerne la limitation ou la prévention de la corrosion externe, le standard API 2510 ‘Design and Construction of LPG Installations’ stipule au §6.2.11.5 que des plaques de doublage ou de renforcement peuvent être installées entre la paroi du réservoir et les appuis. Et ce afin d’offrir une protection contre la corrosion externe de la paroi externe, de créer une surface portante pour le mouvement induit par la température ou pour limiter les tensions dans la paroi du réservoir au niveau des appuis.</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Dans le cas de réservoirs horizontaux, des plaques de doublage sont soudées tout le long de la périphérie et ce après que l’humidité sous les plaques ait été éliminée. Un point de purge est prévu au point le plus bas de chaque plaque.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Mesure"/>
            </w:pPr>
            <w:r w:rsidRPr="003933FE">
              <w:t>Inspections externes de la paroi du réservoir</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L’entreprise dispose d’un rapport d’inspection d’où il doit apparaître:</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insprong1"/>
            </w:pPr>
            <w:r w:rsidRPr="003933FE">
              <w:t>qu’une inspection a été réalisée, visant les différentes formes de corrosion externe qui peuvent se produire</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toelichtingvraaginsprong1"/>
            </w:pPr>
            <w:r w:rsidRPr="003933FE">
              <w:t>que le réservoir est encore apte à l’usage.</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FR"/>
              </w:rPr>
            </w:pPr>
            <w:r w:rsidRPr="003933FE">
              <w:rPr>
                <w:lang w:val="fr-BE"/>
              </w:rPr>
              <w:t xml:space="preserve">La date limite pour la prochaine inspection externe (mentionnée dans le rapport d’inspection) n’est pas encore expirée.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FR"/>
              </w:rPr>
            </w:pPr>
            <w:r w:rsidRPr="003933FE">
              <w:rPr>
                <w:lang w:val="fr-FR"/>
              </w:rPr>
              <w:lastRenderedPageBreak/>
              <w:t>Selon l’AR’68, un contrôle par un service externe pour les contrôles techniques doit être réalisé tous les 5 ans.</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FR"/>
              </w:rPr>
            </w:pPr>
            <w:r w:rsidRPr="003933FE">
              <w:rPr>
                <w:lang w:val="fr-FR"/>
              </w:rPr>
              <w:t>Le Vlarem II demande un examen périodique tous les 5 ans, à réaliser par un expert en environnement dans la discipline réservoirs de gaz ou de substances dangereuses, au cours duquel le réservoir est contrôlé entre autres selon un code de bonne pratique par rapport à l’état de conservation et à la protection contre la corrosion. Ce contrôle périodique comprend au moins un contrôle externe du réservoir. Cette prescription est valable aussi bien pour les réservoirs de stockage aériens, que souterrains ou sous tertre.</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Kop3"/>
            </w:pPr>
            <w:r w:rsidRPr="003933FE">
              <w:t>Corrosion sous l’isolation des réservoirs et des tuyauteries</w:t>
            </w:r>
          </w:p>
        </w:tc>
        <w:tc>
          <w:tcPr>
            <w:tcW w:w="5066" w:type="dxa"/>
          </w:tcPr>
          <w:p w:rsidR="003933FE" w:rsidRPr="003933FE" w:rsidRDefault="003933FE" w:rsidP="003933FE">
            <w:pPr>
              <w:rPr>
                <w:lang w:val="fr-FR"/>
              </w:rPr>
            </w:pPr>
          </w:p>
        </w:tc>
      </w:tr>
      <w:tr w:rsidR="00C97535" w:rsidRPr="00B42730" w:rsidTr="00C851B3">
        <w:trPr>
          <w:trHeight w:val="2546"/>
        </w:trPr>
        <w:tc>
          <w:tcPr>
            <w:tcW w:w="8075" w:type="dxa"/>
          </w:tcPr>
          <w:p w:rsidR="00C97535" w:rsidRPr="003933FE" w:rsidRDefault="00C97535" w:rsidP="00C97535">
            <w:pPr>
              <w:pStyle w:val="Toelichtingscenario"/>
              <w:spacing w:before="120" w:after="120"/>
            </w:pPr>
            <w:r w:rsidRPr="003933FE">
              <w:t xml:space="preserve">La corrosion sous l’isolation thermique peut avoir lieu lorsque de l’eau est emprisonnée sous l’isolation. </w:t>
            </w:r>
          </w:p>
          <w:p w:rsidR="00C97535" w:rsidRPr="003933FE" w:rsidRDefault="00C97535" w:rsidP="00C97535">
            <w:pPr>
              <w:pStyle w:val="Toelichtingscenario"/>
              <w:spacing w:before="120" w:after="120"/>
            </w:pPr>
            <w:r w:rsidRPr="003933FE">
              <w:t>En fonction du type d’acier, on peut distinguer deux types de corrosion sous l’isolation.</w:t>
            </w:r>
          </w:p>
          <w:p w:rsidR="00C97535" w:rsidRPr="003933FE" w:rsidRDefault="00C97535" w:rsidP="00C97535">
            <w:pPr>
              <w:pStyle w:val="Opsomming"/>
              <w:spacing w:before="120" w:after="120"/>
              <w:rPr>
                <w:sz w:val="18"/>
                <w:lang w:val="fr-BE"/>
              </w:rPr>
            </w:pPr>
            <w:r w:rsidRPr="003933FE">
              <w:rPr>
                <w:sz w:val="18"/>
                <w:lang w:val="fr-BE"/>
              </w:rPr>
              <w:t xml:space="preserve">Dans le cas d’acier au carbone et d’acier faiblement allié, la corrosion prend la forme d’une corrosion générale ou de piquage. L’intervalle de température endéans lequel ces types d’acier sont sensibles à la corrosion sous l’isolation va de -12°C à 175°C. </w:t>
            </w:r>
          </w:p>
          <w:p w:rsidR="00C97535" w:rsidRPr="00C97535" w:rsidRDefault="00C97535" w:rsidP="00C97535">
            <w:pPr>
              <w:pStyle w:val="Opsomming"/>
              <w:spacing w:before="120" w:after="120"/>
              <w:rPr>
                <w:lang w:val="fr-FR"/>
              </w:rPr>
            </w:pPr>
            <w:r w:rsidRPr="003933FE">
              <w:rPr>
                <w:sz w:val="18"/>
                <w:lang w:val="fr-BE"/>
              </w:rPr>
              <w:t>Dans le cas d’acier inoxydable austénitique, la corrosion sous l’isolation se manifeste comme une corrosion de tension (Stress Corrosion Cracking). L’intervalle de température endéans lequel ces types d’acier sont sensibles à la corrosion sous l’isolation va de +50°C à 175°C.</w:t>
            </w:r>
          </w:p>
        </w:tc>
        <w:tc>
          <w:tcPr>
            <w:tcW w:w="5066" w:type="dxa"/>
          </w:tcPr>
          <w:p w:rsidR="00C97535" w:rsidRPr="003933FE" w:rsidRDefault="00C97535" w:rsidP="00C97535">
            <w:pPr>
              <w:spacing w:before="120" w:after="120"/>
              <w:rPr>
                <w:lang w:val="fr-FR"/>
              </w:rPr>
            </w:pPr>
          </w:p>
        </w:tc>
      </w:tr>
      <w:tr w:rsidR="003933FE" w:rsidRPr="00B42730" w:rsidTr="003933FE">
        <w:tc>
          <w:tcPr>
            <w:tcW w:w="8075" w:type="dxa"/>
          </w:tcPr>
          <w:p w:rsidR="003933FE" w:rsidRPr="003933FE" w:rsidRDefault="003933FE" w:rsidP="00244C49">
            <w:pPr>
              <w:pStyle w:val="Maatregel"/>
              <w:numPr>
                <w:ilvl w:val="0"/>
                <w:numId w:val="2"/>
              </w:numPr>
              <w:tabs>
                <w:tab w:val="clear" w:pos="3686"/>
                <w:tab w:val="num" w:pos="567"/>
              </w:tabs>
              <w:ind w:left="567"/>
              <w:rPr>
                <w:lang w:val="fr-BE"/>
              </w:rPr>
            </w:pPr>
            <w:r w:rsidRPr="003933FE">
              <w:rPr>
                <w:lang w:val="fr-BE"/>
              </w:rPr>
              <w:t>Inspections des parois sous l’isolation en fonction du risque de corrosion sous l’isolation</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Pour les réservoirs et tuyauteries isolés qui sont exploités dans un domaine de température où la corrosion sous l’isolation peut se produire, le risque de corrosion sous l’isolation doit être analysé. Différents facteurs y jouent un rôle, tels que l’état de l’isolation (en particulier l’étanchéité à l’eau), la présence et l’état d’une couche de peinture de protection, la géométrie et la possibilité pour l’eau de s’accumuler à certains endroits, etc.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lastRenderedPageBreak/>
              <w:t>Diverses publications traitent en détails de la problématique de la corrosion et peuvent être utilisées comme aide pour la réalisation d’une analyse approfondie, par exemple le standard API RP 583 ‘Corrosion under insulation and fireproofing’.</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En fonction des risques, l’isolation devra être enlevée afin de pouvoir constater s’il y a eu de la corrosion sous l’isolation et la gravité de dégâts éventuels.</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Maatregel"/>
              <w:numPr>
                <w:ilvl w:val="0"/>
                <w:numId w:val="2"/>
              </w:numPr>
              <w:tabs>
                <w:tab w:val="clear" w:pos="3686"/>
                <w:tab w:val="num" w:pos="567"/>
              </w:tabs>
              <w:ind w:left="567"/>
              <w:rPr>
                <w:lang w:val="fr-BE"/>
              </w:rPr>
            </w:pPr>
            <w:r w:rsidRPr="003933FE">
              <w:rPr>
                <w:lang w:val="fr-BE"/>
              </w:rPr>
              <w:t xml:space="preserve">Inspections périodiques de l’état de l’isolation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Là où le revêtement de l’isolation a été abîmé, l’eau pourra ruisseler vers l’intérieur. Il est donc important de maintenir en bon état l’isolation, ainsi que son étanchéité et de réparer les dommages le plus rapidement possible.</w:t>
            </w:r>
          </w:p>
        </w:tc>
        <w:tc>
          <w:tcPr>
            <w:tcW w:w="5066" w:type="dxa"/>
          </w:tcPr>
          <w:p w:rsidR="003933FE" w:rsidRPr="003933FE" w:rsidRDefault="003933FE" w:rsidP="003933FE">
            <w:pPr>
              <w:rPr>
                <w:lang w:val="fr-BE"/>
              </w:rPr>
            </w:pPr>
          </w:p>
        </w:tc>
      </w:tr>
      <w:tr w:rsidR="003933FE" w:rsidRPr="003933FE" w:rsidTr="003933FE">
        <w:tc>
          <w:tcPr>
            <w:tcW w:w="8075" w:type="dxa"/>
          </w:tcPr>
          <w:p w:rsidR="003933FE" w:rsidRPr="003933FE" w:rsidRDefault="003933FE" w:rsidP="00244C49">
            <w:pPr>
              <w:pStyle w:val="Kop3"/>
              <w:rPr>
                <w:lang w:val="nl-BE"/>
              </w:rPr>
            </w:pPr>
            <w:r w:rsidRPr="003933FE">
              <w:t>Corrosion interne du réservoir</w:t>
            </w:r>
          </w:p>
        </w:tc>
        <w:tc>
          <w:tcPr>
            <w:tcW w:w="5066" w:type="dxa"/>
          </w:tcPr>
          <w:p w:rsidR="003933FE" w:rsidRPr="003933FE" w:rsidRDefault="003933FE" w:rsidP="003933FE"/>
        </w:tc>
      </w:tr>
      <w:tr w:rsidR="003933FE" w:rsidRPr="00B42730" w:rsidTr="003933FE">
        <w:tc>
          <w:tcPr>
            <w:tcW w:w="8075" w:type="dxa"/>
          </w:tcPr>
          <w:p w:rsidR="003933FE" w:rsidRPr="003933FE" w:rsidRDefault="003933FE" w:rsidP="00244C49">
            <w:pPr>
              <w:pStyle w:val="Maatregel"/>
              <w:numPr>
                <w:ilvl w:val="0"/>
                <w:numId w:val="2"/>
              </w:numPr>
              <w:tabs>
                <w:tab w:val="clear" w:pos="3686"/>
                <w:tab w:val="num" w:pos="567"/>
              </w:tabs>
              <w:ind w:left="567"/>
              <w:rPr>
                <w:lang w:val="fr-BE"/>
              </w:rPr>
            </w:pPr>
            <w:r w:rsidRPr="003933FE">
              <w:rPr>
                <w:lang w:val="fr-BE"/>
              </w:rPr>
              <w:t>Inspections de l’intérieur des réservoirs en fonction des risques</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L’entreprise a identifié les possibles phénomènes de dégradation qui peuvent survenir à l’intérieur du réservoir.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En fonction de cela, les méthodologies d’inspection ont été déterminées.</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On ne pénètre dans les réservoirs pour inspection que si l’application de la (des) technique(s) d’inspection le rend nécessaire.</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FR"/>
              </w:rPr>
              <w:t>Le Vlarem II demande un examen périodique tous les 5 ans, à réaliser par un expert en environnement dans la discipline réservoirs de gaz ou de substances dangereuses, au cours duquel le réservoir est contrôlé entre autres selon un code de bonne pratique par rapport à l’état de conservation et à la protection contre la corrosion</w:t>
            </w:r>
            <w:r w:rsidRPr="003933FE">
              <w:rPr>
                <w:lang w:val="fr-BE"/>
              </w:rPr>
              <w:t>. Le contrôle périodique concerne, à côté d’un examen externe, toujours un examen interne, à moins qu’il ressorte d’une analyse des risques d’un expert en environnement dans la discipline réservoirs de gaz ou de substances dangereuses, que, vu les propriétés du produit stocké, le matériau du réservoir, l’historique d’utilisation du réservoir, les conditions de stockage et d’autres éventuels paramètres pertinents, aucune corrosion interne ne peut survenir.</w:t>
            </w:r>
          </w:p>
        </w:tc>
        <w:tc>
          <w:tcPr>
            <w:tcW w:w="5066" w:type="dxa"/>
          </w:tcPr>
          <w:p w:rsidR="003933FE" w:rsidRPr="003933FE"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En dérogation au paragraphe précédent, l’examen interne n’est pas exigé pour des réservoirs de GPL avec une capacité de maximum 13.000 l. Pour des réservoirs de GPL </w:t>
            </w:r>
            <w:r w:rsidRPr="003933FE">
              <w:rPr>
                <w:lang w:val="fr-BE"/>
              </w:rPr>
              <w:lastRenderedPageBreak/>
              <w:t>d’une capacité de plus de 13.000 l, le délai maximum de 5 ans pour l’examen interne est porté à 20 ans. GPL peut être interprété plus largement que seulement les ‘gaz propane et gaz butane liquéfiés commerciaux et leurs mélanges’ et peut comprendre tous les gaz de pétrole liquéfiés. Il s’agit donc aussi du propène ou du butène, gaz qui tombent sous les spécifications normées du GPL.</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L’expert en environnement dans la discipline réservoirs de gaz ou de substances dangereuses peut modifier la périodicité de l’examen interne, en fonction des constatations réalisées ou de l’expérience, pour autant que ce soit motivé, toutefois sans que le délai entre deux examens internes successifs ne s’éleve à plus de 10 ans lors de l’augmentation du délai. Dans le permis d’environnement, ce délai de 10 ans peut être augmenté à un maximum de 20 ans.</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Le Vlarem II prévoit des méthodes de contrôle alternatives en remplacement de l’examen interne. L’examen interne périodique peut être remplacé par une méthode de contrôle alternative offrant les mêmes garanties. Chaque contrôle partiel est réalisé dans ce cadre selon un code de bonne pratique. La méthode de contrôle alternative précitée et le code de bonne pratique sont approuvés par un </w:t>
            </w:r>
            <w:r w:rsidRPr="003933FE">
              <w:rPr>
                <w:lang w:val="fr-FR"/>
              </w:rPr>
              <w:t>expert en environnement dans la discipline réservoirs de gaz ou de substances dangereuses</w:t>
            </w:r>
            <w:r w:rsidRPr="003933FE">
              <w:rPr>
                <w:lang w:val="fr-BE"/>
              </w:rPr>
              <w:t xml:space="preserve">. Lors de l’utilisation d’une méthode de contrôle alternative, la répétition périodique doit être plus courte ou égale au délai fixé par cet arrêté ou dans le permis d’environnement. Ce délai est fixé sur base d’une analyse de risques réalisée par un </w:t>
            </w:r>
            <w:r w:rsidRPr="003933FE">
              <w:rPr>
                <w:lang w:val="fr-FR"/>
              </w:rPr>
              <w:t>expert en environnement dans la discipline réservoirs de gaz ou de substances dangereuses</w:t>
            </w:r>
            <w:r w:rsidRPr="003933FE">
              <w:rPr>
                <w:lang w:val="fr-BE"/>
              </w:rPr>
              <w:t>.</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L’expert en environnement précité établit une attestation signée au sujet de l’approbation de la méthode de contrôle alternative et du code de bonne pratique utilisé, ainsi que de la périodicité obligatoire sur base de l’analyse de risques. L’exploitant tient cette attestation à disposition du fonctionnaire chargé de la surveillance.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Ces dispositions sont valables aussi bien pour des réservoirs de stockage aériens que souterrains ou sous tertre.</w:t>
            </w:r>
          </w:p>
        </w:tc>
        <w:tc>
          <w:tcPr>
            <w:tcW w:w="5066" w:type="dxa"/>
          </w:tcPr>
          <w:p w:rsidR="003933FE" w:rsidRPr="003933FE" w:rsidRDefault="003933FE" w:rsidP="003933FE">
            <w:pPr>
              <w:rPr>
                <w:lang w:val="fr-BE"/>
              </w:rPr>
            </w:pPr>
          </w:p>
        </w:tc>
      </w:tr>
      <w:tr w:rsidR="003933FE" w:rsidRPr="003933FE" w:rsidTr="003933FE">
        <w:tc>
          <w:tcPr>
            <w:tcW w:w="8075" w:type="dxa"/>
          </w:tcPr>
          <w:p w:rsidR="003933FE" w:rsidRPr="003933FE" w:rsidRDefault="003933FE" w:rsidP="00244C49">
            <w:pPr>
              <w:pStyle w:val="Kop3"/>
            </w:pPr>
            <w:r w:rsidRPr="003933FE">
              <w:t>Corrosion atmosphérique des tuyauteries</w:t>
            </w:r>
          </w:p>
        </w:tc>
        <w:tc>
          <w:tcPr>
            <w:tcW w:w="5066" w:type="dxa"/>
          </w:tcPr>
          <w:p w:rsidR="003933FE" w:rsidRPr="003933FE" w:rsidRDefault="003933FE" w:rsidP="003933FE"/>
        </w:tc>
      </w:tr>
      <w:tr w:rsidR="003933FE" w:rsidRPr="00B42730" w:rsidTr="003933FE">
        <w:tc>
          <w:tcPr>
            <w:tcW w:w="8075" w:type="dxa"/>
          </w:tcPr>
          <w:p w:rsidR="003933FE" w:rsidRPr="003933FE" w:rsidRDefault="003933FE" w:rsidP="00244C49">
            <w:pPr>
              <w:pStyle w:val="Mesure"/>
              <w:rPr>
                <w:szCs w:val="20"/>
              </w:rPr>
            </w:pPr>
            <w:r w:rsidRPr="003933FE">
              <w:t>Couche de peinture de protection</w:t>
            </w:r>
          </w:p>
        </w:tc>
        <w:tc>
          <w:tcPr>
            <w:tcW w:w="5066" w:type="dxa"/>
          </w:tcPr>
          <w:p w:rsidR="003933FE" w:rsidRPr="003933FE" w:rsidRDefault="003933FE" w:rsidP="003933FE">
            <w:pPr>
              <w:rPr>
                <w:lang w:val="fr-FR"/>
              </w:rPr>
            </w:pPr>
          </w:p>
        </w:tc>
      </w:tr>
      <w:tr w:rsidR="003933FE" w:rsidRPr="003933FE" w:rsidTr="003933FE">
        <w:tc>
          <w:tcPr>
            <w:tcW w:w="8075" w:type="dxa"/>
          </w:tcPr>
          <w:p w:rsidR="003933FE" w:rsidRPr="003933FE" w:rsidRDefault="003933FE" w:rsidP="00244C49">
            <w:pPr>
              <w:pStyle w:val="Toelichtingvraag"/>
              <w:ind w:left="0"/>
              <w:rPr>
                <w:lang w:val="fr-FR"/>
              </w:rPr>
            </w:pPr>
            <w:r w:rsidRPr="003933FE">
              <w:rPr>
                <w:lang w:val="fr-BE"/>
              </w:rPr>
              <w:t xml:space="preserve">Le bon état de la couche de peinture est contrôlé périodiquement. </w:t>
            </w:r>
            <w:r w:rsidRPr="003933FE">
              <w:rPr>
                <w:lang w:val="fr-FR"/>
              </w:rPr>
              <w:t>Ces contrôles sont enregistrés.</w:t>
            </w:r>
          </w:p>
        </w:tc>
        <w:tc>
          <w:tcPr>
            <w:tcW w:w="5066" w:type="dxa"/>
          </w:tcPr>
          <w:p w:rsidR="003933FE" w:rsidRPr="003933FE" w:rsidRDefault="003933FE" w:rsidP="003933FE">
            <w:pPr>
              <w:rPr>
                <w:lang w:val="fr-BE"/>
              </w:rPr>
            </w:pPr>
          </w:p>
        </w:tc>
      </w:tr>
      <w:tr w:rsidR="003933FE" w:rsidRPr="003933FE" w:rsidTr="003933FE">
        <w:tc>
          <w:tcPr>
            <w:tcW w:w="8075" w:type="dxa"/>
          </w:tcPr>
          <w:p w:rsidR="003933FE" w:rsidRPr="003933FE" w:rsidRDefault="003933FE" w:rsidP="00244C49">
            <w:pPr>
              <w:pStyle w:val="Mesure"/>
            </w:pPr>
            <w:r w:rsidRPr="003933FE">
              <w:lastRenderedPageBreak/>
              <w:t>Inspection des tuyauteries</w:t>
            </w:r>
          </w:p>
        </w:tc>
        <w:tc>
          <w:tcPr>
            <w:tcW w:w="5066" w:type="dxa"/>
          </w:tcPr>
          <w:p w:rsidR="003933FE" w:rsidRPr="003933FE" w:rsidRDefault="003933FE" w:rsidP="003933FE"/>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L’entreprise dispose d’un rapport d’inspection d’où il doit apparaître:</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insprong1"/>
            </w:pPr>
            <w:r w:rsidRPr="003933FE">
              <w:t>qu’une inspection a été réalisée, visant le bon état des tuyauteries</w:t>
            </w:r>
          </w:p>
        </w:tc>
        <w:tc>
          <w:tcPr>
            <w:tcW w:w="5066" w:type="dxa"/>
          </w:tcPr>
          <w:p w:rsidR="003933FE" w:rsidRPr="00B42730" w:rsidRDefault="003933FE" w:rsidP="003933FE">
            <w:pPr>
              <w:rPr>
                <w:lang w:val="fr-FR"/>
              </w:rPr>
            </w:pPr>
          </w:p>
        </w:tc>
      </w:tr>
      <w:tr w:rsidR="003933FE" w:rsidRPr="00B42730" w:rsidTr="003933FE">
        <w:tc>
          <w:tcPr>
            <w:tcW w:w="8075" w:type="dxa"/>
          </w:tcPr>
          <w:p w:rsidR="003933FE" w:rsidRPr="003933FE" w:rsidRDefault="003933FE" w:rsidP="00244C49">
            <w:pPr>
              <w:pStyle w:val="toelichtingvraaginsprong1"/>
            </w:pPr>
            <w:r w:rsidRPr="003933FE">
              <w:t>que des mesures d’épaisseur ont été réalisées (en fonction des risques établis)</w:t>
            </w:r>
          </w:p>
        </w:tc>
        <w:tc>
          <w:tcPr>
            <w:tcW w:w="5066" w:type="dxa"/>
          </w:tcPr>
          <w:p w:rsidR="003933FE" w:rsidRPr="00B42730" w:rsidRDefault="003933FE" w:rsidP="003933FE">
            <w:pPr>
              <w:rPr>
                <w:lang w:val="fr-FR"/>
              </w:rPr>
            </w:pPr>
          </w:p>
        </w:tc>
      </w:tr>
      <w:tr w:rsidR="003933FE" w:rsidRPr="00B42730" w:rsidTr="003933FE">
        <w:tc>
          <w:tcPr>
            <w:tcW w:w="8075" w:type="dxa"/>
          </w:tcPr>
          <w:p w:rsidR="003933FE" w:rsidRPr="003933FE" w:rsidRDefault="003933FE" w:rsidP="00244C49">
            <w:pPr>
              <w:pStyle w:val="toelichtingvraaginsprong1"/>
            </w:pPr>
            <w:r w:rsidRPr="003933FE">
              <w:t>que les résultats des mesures d’épaisseur ont été comparés avec les épaisseurs de paroi minimales exigées</w:t>
            </w:r>
          </w:p>
        </w:tc>
        <w:tc>
          <w:tcPr>
            <w:tcW w:w="5066" w:type="dxa"/>
          </w:tcPr>
          <w:p w:rsidR="003933FE" w:rsidRPr="00B42730" w:rsidRDefault="003933FE" w:rsidP="003933FE">
            <w:pPr>
              <w:rPr>
                <w:lang w:val="fr-FR"/>
              </w:rPr>
            </w:pPr>
          </w:p>
        </w:tc>
      </w:tr>
      <w:tr w:rsidR="003933FE" w:rsidRPr="00B42730" w:rsidTr="003933FE">
        <w:tc>
          <w:tcPr>
            <w:tcW w:w="8075" w:type="dxa"/>
          </w:tcPr>
          <w:p w:rsidR="003933FE" w:rsidRPr="003933FE" w:rsidRDefault="003933FE" w:rsidP="00244C49">
            <w:pPr>
              <w:pStyle w:val="toelichtingvraaginsprong1"/>
            </w:pPr>
            <w:r w:rsidRPr="003933FE">
              <w:t xml:space="preserve">que les tuyauteries sont aptes à l’usage jusqu’à la prochaine inspection (en tenant compte de la vitesse de corrosion). </w:t>
            </w:r>
          </w:p>
        </w:tc>
        <w:tc>
          <w:tcPr>
            <w:tcW w:w="5066" w:type="dxa"/>
          </w:tcPr>
          <w:p w:rsidR="003933FE" w:rsidRPr="00B42730"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La nécessité de réaliser des mesures d’épaisseur est évaluée par l’entreprise en fonction des risques de corrosion et d’érosion. </w:t>
            </w:r>
          </w:p>
        </w:tc>
        <w:tc>
          <w:tcPr>
            <w:tcW w:w="5066" w:type="dxa"/>
          </w:tcPr>
          <w:p w:rsidR="003933FE" w:rsidRPr="003933FE" w:rsidRDefault="003933FE" w:rsidP="003933FE">
            <w:pPr>
              <w:rPr>
                <w:lang w:val="fr-BE"/>
              </w:rPr>
            </w:pPr>
          </w:p>
        </w:tc>
      </w:tr>
      <w:tr w:rsidR="003933FE" w:rsidRPr="003933FE" w:rsidTr="003933FE">
        <w:tc>
          <w:tcPr>
            <w:tcW w:w="8075" w:type="dxa"/>
          </w:tcPr>
          <w:p w:rsidR="003933FE" w:rsidRPr="003933FE" w:rsidRDefault="003933FE" w:rsidP="00244C49">
            <w:pPr>
              <w:pStyle w:val="Kop3"/>
            </w:pPr>
            <w:r w:rsidRPr="003933FE">
              <w:t>Corrosion des tuyauteries enterrées</w:t>
            </w:r>
          </w:p>
        </w:tc>
        <w:tc>
          <w:tcPr>
            <w:tcW w:w="5066" w:type="dxa"/>
          </w:tcPr>
          <w:p w:rsidR="003933FE" w:rsidRPr="003933FE" w:rsidRDefault="003933FE" w:rsidP="003933FE"/>
        </w:tc>
      </w:tr>
      <w:tr w:rsidR="003933FE" w:rsidRPr="00B42730" w:rsidTr="003933FE">
        <w:tc>
          <w:tcPr>
            <w:tcW w:w="8075" w:type="dxa"/>
          </w:tcPr>
          <w:p w:rsidR="003933FE" w:rsidRPr="003933FE" w:rsidRDefault="003933FE" w:rsidP="00244C49">
            <w:pPr>
              <w:pStyle w:val="Mesure"/>
            </w:pPr>
            <w:r w:rsidRPr="003933FE">
              <w:t>Protection cathodique des tuyauteries enterrées</w:t>
            </w:r>
          </w:p>
        </w:tc>
        <w:tc>
          <w:tcPr>
            <w:tcW w:w="5066" w:type="dxa"/>
          </w:tcPr>
          <w:p w:rsidR="003933FE" w:rsidRPr="00B42730" w:rsidRDefault="003933FE" w:rsidP="003933FE">
            <w:pPr>
              <w:rPr>
                <w:lang w:val="fr-FR"/>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 xml:space="preserve">Le bon fonctionnement de la protection cathodique est contrôlé périodiquement. </w:t>
            </w:r>
          </w:p>
        </w:tc>
        <w:tc>
          <w:tcPr>
            <w:tcW w:w="5066" w:type="dxa"/>
          </w:tcPr>
          <w:p w:rsidR="003933FE" w:rsidRPr="003933FE" w:rsidRDefault="003933FE" w:rsidP="003933FE">
            <w:pPr>
              <w:rPr>
                <w:lang w:val="fr-BE"/>
              </w:rPr>
            </w:pPr>
          </w:p>
        </w:tc>
      </w:tr>
      <w:tr w:rsidR="003933FE" w:rsidRPr="00B42730" w:rsidTr="003933FE">
        <w:tc>
          <w:tcPr>
            <w:tcW w:w="8075" w:type="dxa"/>
          </w:tcPr>
          <w:p w:rsidR="003933FE" w:rsidRPr="003933FE" w:rsidRDefault="003933FE" w:rsidP="00244C49">
            <w:pPr>
              <w:pStyle w:val="Toelichtingvraag"/>
              <w:ind w:left="0"/>
              <w:rPr>
                <w:lang w:val="fr-BE"/>
              </w:rPr>
            </w:pPr>
            <w:r w:rsidRPr="003933FE">
              <w:rPr>
                <w:lang w:val="fr-BE"/>
              </w:rPr>
              <w:t>L’entreprise dispose d’un rapport d’inspection duquel il ressort que la protection cathodique offre une protection suffisante.</w:t>
            </w:r>
          </w:p>
        </w:tc>
        <w:tc>
          <w:tcPr>
            <w:tcW w:w="5066" w:type="dxa"/>
          </w:tcPr>
          <w:p w:rsidR="003933FE" w:rsidRPr="003933FE" w:rsidRDefault="003933FE" w:rsidP="003933FE">
            <w:pPr>
              <w:rPr>
                <w:lang w:val="fr-BE"/>
              </w:rPr>
            </w:pPr>
          </w:p>
        </w:tc>
      </w:tr>
    </w:tbl>
    <w:p w:rsidR="00F640BF" w:rsidRPr="00C15305" w:rsidRDefault="00F640BF" w:rsidP="00F640BF">
      <w:pPr>
        <w:rPr>
          <w:lang w:val="fr-BE"/>
        </w:rPr>
      </w:pPr>
    </w:p>
    <w:p w:rsidR="00F640BF" w:rsidRDefault="00F640BF" w:rsidP="00F640BF">
      <w:pPr>
        <w:rPr>
          <w:lang w:val="fr-BE"/>
        </w:rPr>
      </w:pPr>
      <w:r w:rsidRPr="00C15305">
        <w:rPr>
          <w:lang w:val="fr-BE"/>
        </w:rPr>
        <w:br w:type="page"/>
      </w:r>
    </w:p>
    <w:p w:rsidR="005A6F16" w:rsidRDefault="005A6F16" w:rsidP="005A6F16">
      <w:pPr>
        <w:rPr>
          <w:lang w:val="fr-BE"/>
        </w:rPr>
      </w:pPr>
    </w:p>
    <w:p w:rsidR="00E153B2" w:rsidRPr="0052522C" w:rsidRDefault="00E153B2" w:rsidP="00A70AF4">
      <w:pPr>
        <w:pStyle w:val="Kop2"/>
      </w:pPr>
      <w:bookmarkStart w:id="5" w:name="_Toc496177859"/>
      <w:r w:rsidRPr="0052522C">
        <w:t>Limitation de libérations accidentelles</w:t>
      </w:r>
      <w:bookmarkEnd w:id="5"/>
    </w:p>
    <w:tbl>
      <w:tblPr>
        <w:tblStyle w:val="Tabelraster"/>
        <w:tblW w:w="0" w:type="auto"/>
        <w:tblInd w:w="562" w:type="dxa"/>
        <w:tblLook w:val="04A0" w:firstRow="1" w:lastRow="0" w:firstColumn="1" w:lastColumn="0" w:noHBand="0" w:noVBand="1"/>
      </w:tblPr>
      <w:tblGrid>
        <w:gridCol w:w="8505"/>
        <w:gridCol w:w="4925"/>
      </w:tblGrid>
      <w:tr w:rsidR="00CC399B" w:rsidRPr="00B42730" w:rsidTr="00054B8B">
        <w:tc>
          <w:tcPr>
            <w:tcW w:w="8505" w:type="dxa"/>
          </w:tcPr>
          <w:p w:rsidR="00CC399B" w:rsidRPr="00CC399B" w:rsidRDefault="00CC399B" w:rsidP="00244C49">
            <w:pPr>
              <w:pStyle w:val="Kop3"/>
            </w:pPr>
            <w:r w:rsidRPr="00CC399B">
              <w:t xml:space="preserve">Ecoulement du contenu du réservoir lors d’une fuite </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Mesure"/>
              <w:rPr>
                <w:szCs w:val="20"/>
              </w:rPr>
            </w:pPr>
            <w:r w:rsidRPr="00CC399B">
              <w:t>Tubes plongeurs équipés de coupe-siphons</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La connexion des tuyauteries sur la partie du réservoir en contact avec la phase vapeur a pour avantage par rapport à la connexion sous le niveau de liquide qu’en cas de fuite à une liaison par bride, ce sera du gaz qui sortira (et pas du liquide).</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Le contact avec la phase liquide peut être réalisé en utilisant des tubes plongeurs. En prévoyant un ou plusieurs trous dans la partie du tube plongeur en contact avec la phase vapeur, on évite que le tube plongeur reste rempli de liquide. De cette manière, on évite l’effet siphon et la libération de gaz liquéfié en cas de fuite sur la tuyauterie.</w:t>
            </w:r>
          </w:p>
        </w:tc>
        <w:tc>
          <w:tcPr>
            <w:tcW w:w="4925" w:type="dxa"/>
          </w:tcPr>
          <w:p w:rsidR="00CC399B" w:rsidRPr="00CC399B" w:rsidRDefault="00CC399B" w:rsidP="00CC399B">
            <w:pPr>
              <w:rPr>
                <w:lang w:val="fr-BE"/>
              </w:rPr>
            </w:pPr>
          </w:p>
        </w:tc>
      </w:tr>
      <w:tr w:rsidR="00CC399B" w:rsidRPr="00CC399B" w:rsidTr="00054B8B">
        <w:tc>
          <w:tcPr>
            <w:tcW w:w="8505" w:type="dxa"/>
          </w:tcPr>
          <w:p w:rsidR="00CC399B" w:rsidRPr="00CC399B" w:rsidRDefault="00CC399B" w:rsidP="00244C49">
            <w:pPr>
              <w:pStyle w:val="Mesure"/>
              <w:rPr>
                <w:szCs w:val="20"/>
              </w:rPr>
            </w:pPr>
            <w:r w:rsidRPr="00CC399B">
              <w:t>Rondes de contrôle régulières</w:t>
            </w:r>
          </w:p>
        </w:tc>
        <w:tc>
          <w:tcPr>
            <w:tcW w:w="4925" w:type="dxa"/>
          </w:tcPr>
          <w:p w:rsidR="00CC399B" w:rsidRPr="00CC399B" w:rsidRDefault="00CC399B" w:rsidP="00CC399B"/>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Ces rondes sont enregistrées. Un formulaire décrit les endroits et installations à contrôler.</w:t>
            </w:r>
          </w:p>
        </w:tc>
        <w:tc>
          <w:tcPr>
            <w:tcW w:w="4925" w:type="dxa"/>
          </w:tcPr>
          <w:p w:rsidR="00CC399B" w:rsidRPr="00CC399B" w:rsidRDefault="00CC399B" w:rsidP="00CC399B">
            <w:pPr>
              <w:rPr>
                <w:lang w:val="fr-BE"/>
              </w:rPr>
            </w:pPr>
          </w:p>
        </w:tc>
      </w:tr>
      <w:tr w:rsidR="00CC399B" w:rsidRPr="00CC399B" w:rsidTr="00054B8B">
        <w:tc>
          <w:tcPr>
            <w:tcW w:w="8505" w:type="dxa"/>
          </w:tcPr>
          <w:p w:rsidR="00CC399B" w:rsidRPr="00CC399B" w:rsidRDefault="00CC399B" w:rsidP="00244C49">
            <w:pPr>
              <w:pStyle w:val="Mesure"/>
            </w:pPr>
            <w:r w:rsidRPr="00CC399B">
              <w:t>Détection de gaz</w:t>
            </w:r>
          </w:p>
        </w:tc>
        <w:tc>
          <w:tcPr>
            <w:tcW w:w="4925" w:type="dxa"/>
          </w:tcPr>
          <w:p w:rsidR="00CC399B" w:rsidRPr="00CC399B" w:rsidRDefault="00CC399B" w:rsidP="00CC399B"/>
        </w:tc>
      </w:tr>
      <w:tr w:rsidR="00CC399B" w:rsidRPr="00CC399B" w:rsidTr="00054B8B">
        <w:tc>
          <w:tcPr>
            <w:tcW w:w="8505" w:type="dxa"/>
          </w:tcPr>
          <w:p w:rsidR="00CC399B" w:rsidRPr="00CC399B" w:rsidRDefault="00CC399B" w:rsidP="00244C49">
            <w:pPr>
              <w:pStyle w:val="Toelichtingvraag"/>
              <w:ind w:left="0"/>
            </w:pPr>
            <w:r w:rsidRPr="00CC399B">
              <w:t>Actions</w:t>
            </w:r>
          </w:p>
        </w:tc>
        <w:tc>
          <w:tcPr>
            <w:tcW w:w="4925" w:type="dxa"/>
          </w:tcPr>
          <w:p w:rsidR="00CC399B" w:rsidRPr="00CC399B" w:rsidRDefault="00CC399B" w:rsidP="00CC399B"/>
        </w:tc>
      </w:tr>
      <w:tr w:rsidR="00CC399B" w:rsidRPr="00B42730" w:rsidTr="00054B8B">
        <w:tc>
          <w:tcPr>
            <w:tcW w:w="8505" w:type="dxa"/>
          </w:tcPr>
          <w:p w:rsidR="00CC399B" w:rsidRPr="00CC399B" w:rsidRDefault="00CC399B" w:rsidP="00244C49">
            <w:pPr>
              <w:pStyle w:val="toelichtingvraaginsprong1"/>
            </w:pPr>
            <w:r w:rsidRPr="00CC399B">
              <w:t>Déclenchement d’une alarme à un endroit occupé de façon permanente (valeur indicative pour le réglage de l’alarme : 20 à 25% de la LIE).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t>Arrêt des pompes et/ou les compresseurs et fermeture automatique des vannes d'arrêt (valeur indicative 20 à 40% de la LIE).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Placement des points de mesures</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lastRenderedPageBreak/>
              <w:t xml:space="preserve">Au niveau des points de fuite potentiels, tels que pompes, compresseurs, connexions sur le réservoir, … </w:t>
            </w:r>
            <w:r w:rsidRPr="00CC399B">
              <w:rPr>
                <w:strike/>
              </w:rPr>
              <w:t xml:space="preserve"> </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t>Aux endroits où des gaz peuvent s’accumuler: placement sur les murs de l’encuvement, dans les caniveaux et puits de recueil.</w:t>
            </w:r>
          </w:p>
        </w:tc>
        <w:tc>
          <w:tcPr>
            <w:tcW w:w="4925" w:type="dxa"/>
          </w:tcPr>
          <w:p w:rsidR="00CC399B" w:rsidRPr="00CC399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Inspection et maintenance</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rPr>
                <w:b/>
              </w:rPr>
            </w:pPr>
            <w:r w:rsidRPr="00CC399B">
              <w:t>Calibrage périodique des sondes de mesure. La périodicité est déterminée en tenant compte des prescriptions du fabriquant et des expériences des inspections, mais ne dépasse pas un an, conformément à l’article III.3.22 du Code sur le bien-être au travail.</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rPr>
                <w:b/>
              </w:rPr>
            </w:pPr>
            <w:r w:rsidRPr="00CC399B">
              <w:t>Test périodique des actions liées à la détection de gaz (fréquence indicative: annuel).</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Mesure"/>
            </w:pPr>
            <w:r w:rsidRPr="00CC399B">
              <w:t>Alarme en cas de variation anormale de niveau dans le réservoir</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Pour les réservoirs qui sont contrôlés via un système informatique, une telle alarme est relativement simple à implémenter grâce à une combinaison de paramètres existants: le niveau du réservoir, l'état des vannes de sortie, le fonctionnement des pompes. Le système ne peut pas être utilisé pour les réservoirs dont le contenu est en mouvement en continu.</w:t>
            </w:r>
          </w:p>
        </w:tc>
        <w:tc>
          <w:tcPr>
            <w:tcW w:w="4925" w:type="dxa"/>
          </w:tcPr>
          <w:p w:rsidR="00CC399B" w:rsidRPr="00CC399B" w:rsidRDefault="00CC399B" w:rsidP="00CC399B">
            <w:pPr>
              <w:rPr>
                <w:lang w:val="fr-BE"/>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 xml:space="preserve">Ces alarmes doivent se déclencher à un endroit où une personne pouvant intervenir est présente en permanence (ex: salle de contrôle). </w:t>
            </w:r>
            <w:r w:rsidRPr="00CC399B">
              <w:rPr>
                <w:lang w:val="fr-FR"/>
              </w:rPr>
              <w:t>La réponse adaptée est reprise dans une instruction.</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Mesure"/>
            </w:pPr>
            <w:r w:rsidRPr="00CC399B">
              <w:t>Vannes de fermeture (d’urgence) placées sur le réservoir et commandées à distance</w:t>
            </w:r>
          </w:p>
        </w:tc>
        <w:tc>
          <w:tcPr>
            <w:tcW w:w="4925" w:type="dxa"/>
          </w:tcPr>
          <w:p w:rsidR="00CC399B" w:rsidRPr="00CC399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tabs>
                <w:tab w:val="center" w:pos="4536"/>
                <w:tab w:val="right" w:pos="9072"/>
              </w:tabs>
              <w:ind w:left="0"/>
              <w:rPr>
                <w:lang w:val="fr-BE"/>
              </w:rPr>
            </w:pPr>
            <w:r w:rsidRPr="00CC399B">
              <w:rPr>
                <w:lang w:val="fr-BE"/>
              </w:rPr>
              <w:t>Emplacement</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t xml:space="preserve">Sur toutes les tuyauteries de gaz liquéfiés connectées au réservoir, l’entreprise utilise des vannes résistantes au feu, placées le plus près possible du réservoir et qui peuvent être commandées d’un endroit hors de danger situé à distance. </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lastRenderedPageBreak/>
              <w:t xml:space="preserve">La vanne doit être montée le plus près possible du réservoir pour réduire au maximum le nombre de points de fuite possibles entre le réservoir et la vanne. Plus la tuyauterie est longue, plus grande est la chance d’avoir une fuite. L’idéal est donc de monter la vanne directement contre le réservoir. </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t>En cas d’incendie, la paroi du réservoir sera facilement refroidie par la vaporisation du liquide présent à l’intérieur. Ce n’est pas le cas pour une tuyauterie. Une vanne qui se trouve à une certaine distance du réservoir ne pourra en effet pas empêcher qu’un incendie ne continue à être alimenté (suite à une défaillance de la tuyauterie soumise au feu).</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Position de sécurité en cas de coupure d’alimentation en air comprimé ou en électricité</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t>Il est clair que, dans le cas des vannes sur la tuyauterie des réservoirs, la position de sécurité est la position fermée. Un principe généralement accepté et appliqué dans la sécurité des procédés est de concevoir les vannes de sorte que, lors de la perte d’air comprimé ou de l’alimentation électrique, ces vannes se mettent en position de sécurité (dans ce cas, en position fermée).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rPr>
                <w:lang w:eastAsia="nl-BE"/>
              </w:rPr>
            </w:pPr>
            <w:r w:rsidRPr="00CC399B">
              <w:rPr>
                <w:lang w:eastAsia="nl-BE"/>
              </w:rPr>
              <w:t>Pour les actuateurs pneumatiques du type “spring return”, un ressort repousse la vanne dans une position définie en cas de rupture d’alimentation en air comprimé (c’est la position par défaut de la vanne).</w:t>
            </w:r>
          </w:p>
        </w:tc>
        <w:tc>
          <w:tcPr>
            <w:tcW w:w="4925" w:type="dxa"/>
          </w:tcPr>
          <w:p w:rsidR="00CC399B" w:rsidRPr="00CC399B" w:rsidRDefault="00CC399B" w:rsidP="00CC399B">
            <w:pPr>
              <w:rPr>
                <w:lang w:val="fr-FR" w:eastAsia="nl-BE"/>
              </w:rPr>
            </w:pPr>
          </w:p>
        </w:tc>
      </w:tr>
      <w:tr w:rsidR="00CC399B" w:rsidRPr="00B42730" w:rsidTr="00054B8B">
        <w:tc>
          <w:tcPr>
            <w:tcW w:w="8505" w:type="dxa"/>
          </w:tcPr>
          <w:p w:rsidR="00CC399B" w:rsidRPr="00CC399B" w:rsidRDefault="00CC399B" w:rsidP="00244C49">
            <w:pPr>
              <w:pStyle w:val="toelichtingvraaginsprong1"/>
            </w:pPr>
            <w:r w:rsidRPr="00CC399B">
              <w:t>Des vannes avec des actuateurs électriques peuvent aussi être construites de façon à ce qu’elles évoluent automatiquement vers une position de sécurité de la vanne lors de la perte de l’alimentation d’énergie ou du signal de conduite. Ceci est réalisé par un ressort dans l’actuateur qui, lors de la perte d’énergie, ferme la vanne (autrement dit action fail-safe).</w:t>
            </w:r>
          </w:p>
        </w:tc>
        <w:tc>
          <w:tcPr>
            <w:tcW w:w="4925" w:type="dxa"/>
          </w:tcPr>
          <w:p w:rsidR="00CC399B" w:rsidRPr="00CC399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Pilotage en cas d’incendie</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t xml:space="preserve">Pour assurer la fermeture de vannes pneumatiques en cas d’incendie, la façon la plus facile est l’utilisation de petits tuyaux d’air comprimé qui fondent rapidement. Grâce à cela, un fonctionnement automatique est obtenu, indépendamment d’autres systèmes d’activation. Pour un incendie, ailleurs dans l’installation, il est évidemment nécessaire que </w:t>
            </w:r>
            <w:r w:rsidRPr="00CC399B">
              <w:lastRenderedPageBreak/>
              <w:t>ces vannes puissent être activées via un bouton d’arrêt d’urgence ou une boucle automatique.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t>Afin d’assurer la conduite d’une vanne avec un actuateur électrique également en cas d’incendie, il faut satisfaire aux conditions suivantes:</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2"/>
            </w:pPr>
            <w:r w:rsidRPr="00CC399B">
              <w:t>L’actuateur est lui-même suffisamment résistant au feu afin de ne pas faire défaut lors d’un feu avant que la vanne ne soit fermée.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2"/>
            </w:pPr>
            <w:r w:rsidRPr="00CC399B">
              <w:t>Le câble d’alimentation électrique vers l’actuateur est protégé contre le feu de sorte que la résistance au feu est suffisante afin d’assurer l’alimentation jusqu’à ce que la vanne soit fermée.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2"/>
            </w:pPr>
            <w:r w:rsidRPr="00CC399B">
              <w:t>Les câbles de signal pour la conduite de la vanne ne sont pas protégés contre le feu de la même manière de sorte qu’ils fondent avant le câble d’alimentation. De cette manière, selon la première condition de cette liste, la vanne devrait aller dans sa position fail-safe avant que le câble d’alimentation ne fasse défaut.</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2"/>
            </w:pPr>
            <w:r w:rsidRPr="00CC399B">
              <w:t>L’alimentation électrique doit avoir une fiabilité augmentée. Elle ne peut donc être coupée au moindre court-circuit suite à un incendie. Cela peut être solutionné par exemple en alimentant l’actuateur via un système ou un réseau d’alimentation de secours.</w:t>
            </w:r>
          </w:p>
        </w:tc>
        <w:tc>
          <w:tcPr>
            <w:tcW w:w="4925" w:type="dxa"/>
          </w:tcPr>
          <w:p w:rsidR="00CC399B" w:rsidRPr="00CC399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Résistance au feu</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t>La vanne a une résistance au feu de 30 minutes minimum.</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rPr>
                <w:iCs/>
              </w:rPr>
            </w:pPr>
            <w:r w:rsidRPr="00CC399B">
              <w:t>Les vannes doivent être résistantes au feu car ce n’est bien entendu pas le but, qu’après la fermeture de la vanne, l’incendie continue à être nourri via une fuite de la vanne vers l’extérieur due à l’incendie. La résistance au feu de la vanne implique, entre autres, qu’une vanne conserve son étanchéité intacte lors de l’exposition prolongée aux flammes pendant une période déterminée (une demi-heure dans les normes courantes).</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lastRenderedPageBreak/>
              <w:t>La résistance au feu d’une vanne ne peut pas être déterminée sur base de sa conception ou des matériaux utilisés. C’est pourquoi quelques normes décrivant des méthodes de test existent pour déterminer si un certain type de vanne est résistant au feu ou pas. Les méthodes de test les plus actuelles sont décrites dans ”ISO 10497:2010 Testing of valves - Fire type-testing requirements”. Les vannes qui sont testées suivant ces normes, portent la mention “ISO-FT”.</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t xml:space="preserve">Il faut faire attention au fait que les certificats portant uniquement la mention “fire safe design” mais ne contenant aucune garantie de résultat ne seront pas acceptés par les services belges d’inspection Seveso. Ces services considèrent qu’une vanne est résistante au feu uniquement si cela peut être démontré avec un certificat de test suivant une norme. </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pPr>
            <w:r w:rsidRPr="00CC399B">
              <w:t>Un autre aspect du montage d’une vanne de pied résistante au feu est l’utilisation de joints résistants au feu. Pour toutes les liaisons par brides entre le réservoir et la vanne commandée à distance, les joints utilisés doivent être aussi résistants au feu que la vanne elle-même, c’est-à-dire minimum une demi-heure. On peut aussi remarquer ici que les joints résistants au feu sont couramment utilisés dans les situations où un risque d’exposition à un incendie existe.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insprong1"/>
              <w:rPr>
                <w:iCs/>
              </w:rPr>
            </w:pPr>
            <w:r w:rsidRPr="00CC399B">
              <w:t>Des vannes manuelles placées entre les vannes de fermeture d’urgence et le réservoir doivent être évitées, mais si elles sont présentes, elles doivent aussi être résistantes au feu.</w:t>
            </w:r>
          </w:p>
        </w:tc>
        <w:tc>
          <w:tcPr>
            <w:tcW w:w="4925" w:type="dxa"/>
          </w:tcPr>
          <w:p w:rsidR="00CC399B" w:rsidRPr="00CC399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Inspection</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t>Les vannes de fermeture doivent être reprises dans un programme d'inspection périodique.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Indication de position des vannes de fermeture</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pPr>
            <w:r w:rsidRPr="00CC399B">
              <w:t>Les vannes de fermeture disposent d'une indication de position (ouvert/fermé) observable à distance.</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Mesure"/>
            </w:pPr>
            <w:r w:rsidRPr="00CC399B">
              <w:t>Vannes de limitation du débit</w:t>
            </w:r>
          </w:p>
        </w:tc>
        <w:tc>
          <w:tcPr>
            <w:tcW w:w="4925" w:type="dxa"/>
          </w:tcPr>
          <w:p w:rsidR="00CC399B" w:rsidRPr="00CC399B" w:rsidRDefault="00CC399B" w:rsidP="00CC399B">
            <w:pPr>
              <w:rPr>
                <w:lang w:val="fr-FR"/>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lastRenderedPageBreak/>
              <w:t xml:space="preserve">Ces vannes sont placées sur les tuyauteries de sortie. </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La fiabilité de telles vannes est cependant limitée. Il n’est pas évident de les tester. Si elles ne sont pas testées, elles ne peuvent pas être prises en compte comme mesure de sécurité. De plus, elles fonctionnement uniquement à partir d’un débit minimal déterminé. C’est pourquoi elles ne constituent pas une alternative équivalente aux vannes de fermeture commandables à distance.</w:t>
            </w:r>
          </w:p>
        </w:tc>
        <w:tc>
          <w:tcPr>
            <w:tcW w:w="4925" w:type="dxa"/>
          </w:tcPr>
          <w:p w:rsidR="00CC399B" w:rsidRPr="00CC399B" w:rsidRDefault="00CC399B" w:rsidP="00CC399B">
            <w:pPr>
              <w:rPr>
                <w:lang w:val="fr-BE"/>
              </w:rPr>
            </w:pPr>
          </w:p>
        </w:tc>
      </w:tr>
      <w:tr w:rsidR="00CC399B" w:rsidRPr="00CC399B" w:rsidTr="00054B8B">
        <w:tc>
          <w:tcPr>
            <w:tcW w:w="8505" w:type="dxa"/>
          </w:tcPr>
          <w:p w:rsidR="00CC399B" w:rsidRPr="00CC399B" w:rsidRDefault="00CC399B" w:rsidP="00244C49">
            <w:pPr>
              <w:pStyle w:val="Toelichtingvraag"/>
              <w:ind w:left="0"/>
              <w:rPr>
                <w:lang w:val="nl-BE"/>
              </w:rPr>
            </w:pPr>
            <w:r w:rsidRPr="00CC399B">
              <w:rPr>
                <w:lang w:val="nl-BE"/>
              </w:rPr>
              <w:t>Inspection</w:t>
            </w:r>
          </w:p>
        </w:tc>
        <w:tc>
          <w:tcPr>
            <w:tcW w:w="4925" w:type="dxa"/>
          </w:tcPr>
          <w:p w:rsidR="00CC399B" w:rsidRPr="00CC399B" w:rsidRDefault="00CC399B" w:rsidP="00CC399B">
            <w:pPr>
              <w:rPr>
                <w:lang w:val="nl-BE"/>
              </w:rPr>
            </w:pPr>
          </w:p>
        </w:tc>
      </w:tr>
      <w:tr w:rsidR="00CC399B" w:rsidRPr="00B42730" w:rsidTr="00054B8B">
        <w:tc>
          <w:tcPr>
            <w:tcW w:w="8505" w:type="dxa"/>
          </w:tcPr>
          <w:p w:rsidR="00CC399B" w:rsidRPr="00CC399B" w:rsidRDefault="00CC399B" w:rsidP="00244C49">
            <w:pPr>
              <w:pStyle w:val="toelichtingvraaginsprong1"/>
            </w:pPr>
            <w:r w:rsidRPr="00CC399B">
              <w:t xml:space="preserve">Le fonctionnement correct est testé périodiquement. </w:t>
            </w:r>
          </w:p>
        </w:tc>
        <w:tc>
          <w:tcPr>
            <w:tcW w:w="4925" w:type="dxa"/>
          </w:tcPr>
          <w:p w:rsidR="00CC399B" w:rsidRPr="00054B8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Localisation</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rPr>
                <w:b/>
              </w:rPr>
            </w:pPr>
            <w:r w:rsidRPr="00CC399B">
              <w:t>Le plus près possible contre le réservoir.</w:t>
            </w:r>
          </w:p>
        </w:tc>
        <w:tc>
          <w:tcPr>
            <w:tcW w:w="4925" w:type="dxa"/>
          </w:tcPr>
          <w:p w:rsidR="00CC399B" w:rsidRPr="00054B8B" w:rsidRDefault="00CC399B" w:rsidP="00CC399B">
            <w:pPr>
              <w:rPr>
                <w:lang w:val="fr-FR"/>
              </w:rPr>
            </w:pPr>
          </w:p>
        </w:tc>
      </w:tr>
      <w:tr w:rsidR="00CC399B" w:rsidRPr="00CC399B" w:rsidTr="00054B8B">
        <w:tc>
          <w:tcPr>
            <w:tcW w:w="8505" w:type="dxa"/>
          </w:tcPr>
          <w:p w:rsidR="00CC399B" w:rsidRPr="00CC399B" w:rsidRDefault="00CC399B" w:rsidP="00244C49">
            <w:pPr>
              <w:pStyle w:val="Mesure"/>
            </w:pPr>
            <w:r w:rsidRPr="00CC399B">
              <w:t>Clapet anti-retour</w:t>
            </w:r>
          </w:p>
        </w:tc>
        <w:tc>
          <w:tcPr>
            <w:tcW w:w="4925" w:type="dxa"/>
          </w:tcPr>
          <w:p w:rsidR="00CC399B" w:rsidRPr="00CC399B" w:rsidRDefault="00CC399B" w:rsidP="00CC399B"/>
        </w:tc>
      </w:tr>
      <w:tr w:rsidR="00CC399B" w:rsidRPr="00B42730" w:rsidTr="00054B8B">
        <w:tc>
          <w:tcPr>
            <w:tcW w:w="8505" w:type="dxa"/>
          </w:tcPr>
          <w:p w:rsidR="00CC399B" w:rsidRPr="00CC399B" w:rsidRDefault="00CC399B" w:rsidP="00244C49">
            <w:pPr>
              <w:pStyle w:val="Toelichtingvraag"/>
              <w:ind w:left="0"/>
              <w:rPr>
                <w:lang w:val="fr-BE"/>
              </w:rPr>
            </w:pPr>
            <w:r w:rsidRPr="00CC399B">
              <w:rPr>
                <w:lang w:val="fr-BE"/>
              </w:rPr>
              <w:t>Ces clapets sont placés sur les tuyauteries d'entrée. Ils ne sont pas une alternative pour les vannes de fermeture (d’urgence) commandées à distance (vu leur fiabilité insuffisante).</w:t>
            </w:r>
          </w:p>
        </w:tc>
        <w:tc>
          <w:tcPr>
            <w:tcW w:w="4925" w:type="dxa"/>
          </w:tcPr>
          <w:p w:rsidR="00CC399B" w:rsidRPr="00CC399B" w:rsidRDefault="00CC399B" w:rsidP="00CC399B">
            <w:pPr>
              <w:rPr>
                <w:lang w:val="fr-BE"/>
              </w:rPr>
            </w:pPr>
          </w:p>
        </w:tc>
      </w:tr>
      <w:tr w:rsidR="00CC399B" w:rsidRPr="00CC399B" w:rsidTr="00054B8B">
        <w:tc>
          <w:tcPr>
            <w:tcW w:w="8505" w:type="dxa"/>
          </w:tcPr>
          <w:p w:rsidR="00CC399B" w:rsidRPr="00CC399B" w:rsidRDefault="00CC399B" w:rsidP="00244C49">
            <w:pPr>
              <w:pStyle w:val="Toelichtingvraag"/>
              <w:ind w:left="0"/>
              <w:rPr>
                <w:lang w:val="nl-BE"/>
              </w:rPr>
            </w:pPr>
            <w:r w:rsidRPr="00CC399B">
              <w:rPr>
                <w:lang w:val="nl-BE"/>
              </w:rPr>
              <w:t>Inspection</w:t>
            </w:r>
          </w:p>
        </w:tc>
        <w:tc>
          <w:tcPr>
            <w:tcW w:w="4925" w:type="dxa"/>
          </w:tcPr>
          <w:p w:rsidR="00CC399B" w:rsidRPr="00CC399B" w:rsidRDefault="00CC399B" w:rsidP="00CC399B">
            <w:pPr>
              <w:rPr>
                <w:lang w:val="nl-BE"/>
              </w:rPr>
            </w:pPr>
          </w:p>
        </w:tc>
      </w:tr>
      <w:tr w:rsidR="00CC399B" w:rsidRPr="00B42730" w:rsidTr="00054B8B">
        <w:tc>
          <w:tcPr>
            <w:tcW w:w="8505" w:type="dxa"/>
          </w:tcPr>
          <w:p w:rsidR="00CC399B" w:rsidRPr="00CC399B" w:rsidRDefault="00CC399B" w:rsidP="00244C49">
            <w:pPr>
              <w:pStyle w:val="toelichtingvraaginsprong1"/>
            </w:pPr>
            <w:r w:rsidRPr="00CC399B">
              <w:t xml:space="preserve">Le fonctionnement correct est testé périodiquement. </w:t>
            </w:r>
          </w:p>
        </w:tc>
        <w:tc>
          <w:tcPr>
            <w:tcW w:w="4925" w:type="dxa"/>
          </w:tcPr>
          <w:p w:rsidR="00CC399B" w:rsidRPr="00054B8B" w:rsidRDefault="00CC399B" w:rsidP="00CC399B">
            <w:pPr>
              <w:rPr>
                <w:lang w:val="fr-FR"/>
              </w:rPr>
            </w:pPr>
          </w:p>
        </w:tc>
      </w:tr>
      <w:tr w:rsidR="00CC399B" w:rsidRPr="00CC399B" w:rsidTr="00054B8B">
        <w:tc>
          <w:tcPr>
            <w:tcW w:w="8505" w:type="dxa"/>
          </w:tcPr>
          <w:p w:rsidR="00CC399B" w:rsidRPr="00CC399B" w:rsidRDefault="00CC399B" w:rsidP="00244C49">
            <w:pPr>
              <w:pStyle w:val="Toelichtingvraag"/>
              <w:ind w:left="0"/>
              <w:rPr>
                <w:lang w:val="fr-BE"/>
              </w:rPr>
            </w:pPr>
            <w:r w:rsidRPr="00CC399B">
              <w:rPr>
                <w:lang w:val="fr-BE"/>
              </w:rPr>
              <w:t>Localisation</w:t>
            </w:r>
          </w:p>
        </w:tc>
        <w:tc>
          <w:tcPr>
            <w:tcW w:w="4925" w:type="dxa"/>
          </w:tcPr>
          <w:p w:rsidR="00CC399B" w:rsidRPr="00CC399B" w:rsidRDefault="00CC399B" w:rsidP="00CC399B">
            <w:pPr>
              <w:rPr>
                <w:lang w:val="fr-BE"/>
              </w:rPr>
            </w:pPr>
          </w:p>
        </w:tc>
      </w:tr>
      <w:tr w:rsidR="00CC399B" w:rsidRPr="00B42730" w:rsidTr="00054B8B">
        <w:tc>
          <w:tcPr>
            <w:tcW w:w="8505" w:type="dxa"/>
          </w:tcPr>
          <w:p w:rsidR="00CC399B" w:rsidRPr="00CC399B" w:rsidRDefault="00CC399B" w:rsidP="00244C49">
            <w:pPr>
              <w:pStyle w:val="toelichtingvraaginsprong1"/>
              <w:rPr>
                <w:b/>
              </w:rPr>
            </w:pPr>
            <w:r w:rsidRPr="00CC399B">
              <w:t>Le plus près possible contre le réservoir.</w:t>
            </w:r>
          </w:p>
        </w:tc>
        <w:tc>
          <w:tcPr>
            <w:tcW w:w="4925" w:type="dxa"/>
          </w:tcPr>
          <w:p w:rsidR="00CC399B" w:rsidRPr="00B42730" w:rsidRDefault="00CC399B" w:rsidP="00CC399B">
            <w:pPr>
              <w:rPr>
                <w:lang w:val="fr-FR"/>
              </w:rPr>
            </w:pPr>
          </w:p>
        </w:tc>
      </w:tr>
    </w:tbl>
    <w:p w:rsidR="00645152" w:rsidRPr="0052522C" w:rsidRDefault="00645152" w:rsidP="00A70AF4">
      <w:pPr>
        <w:pStyle w:val="Kop2"/>
      </w:pPr>
      <w:bookmarkStart w:id="6" w:name="_Toc496177860"/>
      <w:r w:rsidRPr="0052522C">
        <w:lastRenderedPageBreak/>
        <w:t>Ma</w:t>
      </w:r>
      <w:r w:rsidR="00D87C58">
        <w:t>î</w:t>
      </w:r>
      <w:r w:rsidRPr="0052522C">
        <w:t>trise de la dispersion de substances libérées</w:t>
      </w:r>
      <w:bookmarkEnd w:id="6"/>
    </w:p>
    <w:tbl>
      <w:tblPr>
        <w:tblStyle w:val="Tabelraster"/>
        <w:tblW w:w="0" w:type="auto"/>
        <w:tblInd w:w="562" w:type="dxa"/>
        <w:tblLook w:val="04A0" w:firstRow="1" w:lastRow="0" w:firstColumn="1" w:lastColumn="0" w:noHBand="0" w:noVBand="1"/>
      </w:tblPr>
      <w:tblGrid>
        <w:gridCol w:w="8505"/>
        <w:gridCol w:w="4925"/>
      </w:tblGrid>
      <w:tr w:rsidR="00091696" w:rsidRPr="00B42730" w:rsidTr="00076804">
        <w:tc>
          <w:tcPr>
            <w:tcW w:w="8505" w:type="dxa"/>
          </w:tcPr>
          <w:p w:rsidR="00091696" w:rsidRPr="00091696" w:rsidRDefault="00091696" w:rsidP="00244C49">
            <w:pPr>
              <w:pStyle w:val="Kop3"/>
            </w:pPr>
            <w:r w:rsidRPr="00091696">
              <w:t>Formation d’une flaque de gaz liquéfié sous le réservoir</w:t>
            </w:r>
          </w:p>
        </w:tc>
        <w:tc>
          <w:tcPr>
            <w:tcW w:w="4925" w:type="dxa"/>
          </w:tcPr>
          <w:p w:rsidR="00091696" w:rsidRPr="00091696" w:rsidRDefault="00091696" w:rsidP="00091696">
            <w:pPr>
              <w:rPr>
                <w:lang w:val="fr-BE"/>
              </w:rPr>
            </w:pPr>
          </w:p>
        </w:tc>
      </w:tr>
      <w:tr w:rsidR="00091696" w:rsidRPr="00B42730" w:rsidTr="00076804">
        <w:tc>
          <w:tcPr>
            <w:tcW w:w="8505" w:type="dxa"/>
          </w:tcPr>
          <w:p w:rsidR="00091696" w:rsidRPr="00091696" w:rsidRDefault="00091696" w:rsidP="00244C49">
            <w:pPr>
              <w:pStyle w:val="Maatregel"/>
              <w:numPr>
                <w:ilvl w:val="0"/>
                <w:numId w:val="2"/>
              </w:numPr>
              <w:tabs>
                <w:tab w:val="clear" w:pos="3686"/>
                <w:tab w:val="num" w:pos="567"/>
              </w:tabs>
              <w:ind w:left="567"/>
              <w:rPr>
                <w:lang w:val="fr-BE"/>
              </w:rPr>
            </w:pPr>
            <w:r w:rsidRPr="00091696">
              <w:rPr>
                <w:lang w:val="fr-BE"/>
              </w:rPr>
              <w:t>Sol en pente sous le réservoir vers une zone de recueil</w:t>
            </w:r>
          </w:p>
        </w:tc>
        <w:tc>
          <w:tcPr>
            <w:tcW w:w="4925" w:type="dxa"/>
          </w:tcPr>
          <w:p w:rsidR="00091696" w:rsidRPr="00091696" w:rsidRDefault="00091696" w:rsidP="00091696">
            <w:pPr>
              <w:rPr>
                <w:lang w:val="fr-BE"/>
              </w:rPr>
            </w:pPr>
          </w:p>
        </w:tc>
      </w:tr>
      <w:tr w:rsidR="00091696" w:rsidRPr="00091696" w:rsidTr="00076804">
        <w:tc>
          <w:tcPr>
            <w:tcW w:w="8505" w:type="dxa"/>
          </w:tcPr>
          <w:p w:rsidR="00091696" w:rsidRPr="00091696" w:rsidRDefault="00091696" w:rsidP="00244C49">
            <w:pPr>
              <w:pStyle w:val="Toelichtingvraag"/>
              <w:ind w:left="0"/>
            </w:pPr>
            <w:r w:rsidRPr="00091696">
              <w:rPr>
                <w:lang w:val="fr-BE"/>
              </w:rPr>
              <w:t>Le sol sous et autour d’un réservoir est en pente de manière à ce que des fuites éventuelles ruissellent vers un lieu sûr. Des bordures ou des rigoles peuvent aussi être utilisées dans ce but. L’objectif est double</w:t>
            </w:r>
            <w:r w:rsidRPr="00091696">
              <w:t>:</w:t>
            </w:r>
          </w:p>
        </w:tc>
        <w:tc>
          <w:tcPr>
            <w:tcW w:w="4925" w:type="dxa"/>
          </w:tcPr>
          <w:p w:rsidR="00091696" w:rsidRPr="00091696" w:rsidRDefault="00091696" w:rsidP="00091696">
            <w:pPr>
              <w:rPr>
                <w:lang w:val="fr-BE"/>
              </w:rPr>
            </w:pPr>
          </w:p>
        </w:tc>
      </w:tr>
      <w:tr w:rsidR="00091696" w:rsidRPr="00B42730" w:rsidTr="00076804">
        <w:tc>
          <w:tcPr>
            <w:tcW w:w="8505" w:type="dxa"/>
          </w:tcPr>
          <w:p w:rsidR="00091696" w:rsidRPr="00091696" w:rsidRDefault="00091696" w:rsidP="00244C49">
            <w:pPr>
              <w:pStyle w:val="toelichtingvraaginsprong1"/>
              <w:numPr>
                <w:ilvl w:val="1"/>
                <w:numId w:val="23"/>
              </w:numPr>
            </w:pPr>
            <w:r w:rsidRPr="00091696">
              <w:t>éviter qu’une flaque de gaz liquéfié ne se forme sous un réservoir ou des tuyauteries avec des gaz liquéfiés</w:t>
            </w:r>
          </w:p>
        </w:tc>
        <w:tc>
          <w:tcPr>
            <w:tcW w:w="4925" w:type="dxa"/>
          </w:tcPr>
          <w:p w:rsidR="00091696" w:rsidRPr="00B42730" w:rsidRDefault="00091696" w:rsidP="00091696">
            <w:pPr>
              <w:rPr>
                <w:lang w:val="fr-FR"/>
              </w:rPr>
            </w:pPr>
          </w:p>
        </w:tc>
      </w:tr>
      <w:tr w:rsidR="00091696" w:rsidRPr="00B42730" w:rsidTr="00076804">
        <w:tc>
          <w:tcPr>
            <w:tcW w:w="8505" w:type="dxa"/>
          </w:tcPr>
          <w:p w:rsidR="00091696" w:rsidRPr="00091696" w:rsidRDefault="00091696" w:rsidP="00244C49">
            <w:pPr>
              <w:pStyle w:val="toelichtingvraaginsprong1"/>
              <w:numPr>
                <w:ilvl w:val="1"/>
                <w:numId w:val="23"/>
              </w:numPr>
            </w:pPr>
            <w:r w:rsidRPr="00091696">
              <w:t>limiter le plus possible la surface de la flaque et en conséquence la vaporisation.</w:t>
            </w:r>
          </w:p>
        </w:tc>
        <w:tc>
          <w:tcPr>
            <w:tcW w:w="4925" w:type="dxa"/>
          </w:tcPr>
          <w:p w:rsidR="00091696" w:rsidRPr="00B42730" w:rsidRDefault="00091696" w:rsidP="00091696">
            <w:pPr>
              <w:rPr>
                <w:lang w:val="fr-FR"/>
              </w:rPr>
            </w:pPr>
          </w:p>
        </w:tc>
      </w:tr>
      <w:tr w:rsidR="00091696" w:rsidRPr="00B42730" w:rsidTr="00076804">
        <w:tc>
          <w:tcPr>
            <w:tcW w:w="8505" w:type="dxa"/>
          </w:tcPr>
          <w:p w:rsidR="00091696" w:rsidRPr="00091696" w:rsidRDefault="00091696" w:rsidP="00244C49">
            <w:pPr>
              <w:pStyle w:val="Toelichtingvraag"/>
              <w:ind w:left="0"/>
              <w:rPr>
                <w:lang w:val="fr-BE"/>
              </w:rPr>
            </w:pPr>
            <w:r w:rsidRPr="00091696">
              <w:rPr>
                <w:lang w:val="fr-BE"/>
              </w:rPr>
              <w:t>On trouve des directives plus détaillées sur le recueil et l’évacuation des fuites dans les standards API 2510 Design and construction of LPG installations et API 2510A  Fire-Protection Considerations for the Design and Operation of Liquefied Petroleum Gas (LPG) Storage Facilities.</w:t>
            </w:r>
          </w:p>
        </w:tc>
        <w:tc>
          <w:tcPr>
            <w:tcW w:w="4925" w:type="dxa"/>
          </w:tcPr>
          <w:p w:rsidR="00091696" w:rsidRPr="00091696" w:rsidRDefault="00091696" w:rsidP="00091696">
            <w:pPr>
              <w:rPr>
                <w:lang w:val="fr-BE"/>
              </w:rPr>
            </w:pPr>
          </w:p>
        </w:tc>
      </w:tr>
      <w:tr w:rsidR="00091696" w:rsidRPr="00B42730" w:rsidTr="00076804">
        <w:tc>
          <w:tcPr>
            <w:tcW w:w="8505" w:type="dxa"/>
          </w:tcPr>
          <w:p w:rsidR="00091696" w:rsidRPr="00091696" w:rsidRDefault="00091696" w:rsidP="00244C49">
            <w:pPr>
              <w:pStyle w:val="Kop3"/>
            </w:pPr>
            <w:r w:rsidRPr="00091696">
              <w:t>Dispersion de gaz inflammables via les égouts</w:t>
            </w:r>
          </w:p>
        </w:tc>
        <w:tc>
          <w:tcPr>
            <w:tcW w:w="4925" w:type="dxa"/>
          </w:tcPr>
          <w:p w:rsidR="00091696" w:rsidRPr="00A76193" w:rsidRDefault="00091696" w:rsidP="00091696">
            <w:pPr>
              <w:rPr>
                <w:lang w:val="fr-FR"/>
              </w:rPr>
            </w:pPr>
          </w:p>
        </w:tc>
      </w:tr>
      <w:tr w:rsidR="00091696" w:rsidRPr="00B42730" w:rsidTr="00076804">
        <w:tc>
          <w:tcPr>
            <w:tcW w:w="8505" w:type="dxa"/>
          </w:tcPr>
          <w:p w:rsidR="00091696" w:rsidRPr="00091696" w:rsidRDefault="00091696" w:rsidP="00244C49">
            <w:pPr>
              <w:pStyle w:val="Maatregel"/>
              <w:numPr>
                <w:ilvl w:val="0"/>
                <w:numId w:val="2"/>
              </w:numPr>
              <w:tabs>
                <w:tab w:val="clear" w:pos="3686"/>
                <w:tab w:val="num" w:pos="567"/>
              </w:tabs>
              <w:ind w:left="567"/>
              <w:rPr>
                <w:lang w:val="fr-BE"/>
              </w:rPr>
            </w:pPr>
            <w:r w:rsidRPr="00091696">
              <w:rPr>
                <w:lang w:val="fr-BE"/>
              </w:rPr>
              <w:t xml:space="preserve">Système coupe-gaz dans les égouts </w:t>
            </w:r>
          </w:p>
        </w:tc>
        <w:tc>
          <w:tcPr>
            <w:tcW w:w="4925" w:type="dxa"/>
          </w:tcPr>
          <w:p w:rsidR="00091696" w:rsidRPr="00091696" w:rsidRDefault="00091696" w:rsidP="00091696">
            <w:pPr>
              <w:rPr>
                <w:lang w:val="fr-BE"/>
              </w:rPr>
            </w:pPr>
          </w:p>
        </w:tc>
      </w:tr>
      <w:tr w:rsidR="00091696" w:rsidRPr="00B42730" w:rsidTr="00076804">
        <w:tc>
          <w:tcPr>
            <w:tcW w:w="8505" w:type="dxa"/>
          </w:tcPr>
          <w:p w:rsidR="00091696" w:rsidRPr="00091696" w:rsidRDefault="00091696" w:rsidP="00244C49">
            <w:pPr>
              <w:pStyle w:val="Toelichtingvraag"/>
              <w:ind w:left="0"/>
              <w:rPr>
                <w:lang w:val="fr-BE"/>
              </w:rPr>
            </w:pPr>
            <w:r w:rsidRPr="00091696">
              <w:rPr>
                <w:lang w:val="fr-BE"/>
              </w:rPr>
              <w:t>Les égouts sont équipés d’un système qui empêche la dispersion du gaz inflammable sous forme liquide et sous forme gazeuse (par ex. des syphons).</w:t>
            </w:r>
          </w:p>
        </w:tc>
        <w:tc>
          <w:tcPr>
            <w:tcW w:w="4925" w:type="dxa"/>
          </w:tcPr>
          <w:p w:rsidR="00091696" w:rsidRPr="00091696" w:rsidRDefault="00091696" w:rsidP="00091696">
            <w:pPr>
              <w:rPr>
                <w:lang w:val="fr-BE"/>
              </w:rPr>
            </w:pPr>
          </w:p>
        </w:tc>
      </w:tr>
      <w:tr w:rsidR="00091696" w:rsidRPr="00B42730" w:rsidTr="00076804">
        <w:tc>
          <w:tcPr>
            <w:tcW w:w="8505" w:type="dxa"/>
          </w:tcPr>
          <w:p w:rsidR="00091696" w:rsidRPr="00091696" w:rsidRDefault="00091696" w:rsidP="00244C49">
            <w:pPr>
              <w:pStyle w:val="Kop3"/>
            </w:pPr>
            <w:r w:rsidRPr="00091696">
              <w:t>Formation de nuage explosif autour du réservoir</w:t>
            </w:r>
          </w:p>
        </w:tc>
        <w:tc>
          <w:tcPr>
            <w:tcW w:w="4925" w:type="dxa"/>
          </w:tcPr>
          <w:p w:rsidR="00091696" w:rsidRPr="00A76193" w:rsidRDefault="00091696" w:rsidP="00091696">
            <w:pPr>
              <w:rPr>
                <w:lang w:val="fr-FR"/>
              </w:rPr>
            </w:pPr>
          </w:p>
        </w:tc>
      </w:tr>
      <w:tr w:rsidR="00091696" w:rsidRPr="00B42730" w:rsidTr="00076804">
        <w:tc>
          <w:tcPr>
            <w:tcW w:w="8505" w:type="dxa"/>
          </w:tcPr>
          <w:p w:rsidR="00091696" w:rsidRPr="00091696" w:rsidRDefault="00091696" w:rsidP="00244C49">
            <w:pPr>
              <w:pStyle w:val="Mesure"/>
              <w:rPr>
                <w:szCs w:val="20"/>
              </w:rPr>
            </w:pPr>
            <w:r w:rsidRPr="00091696">
              <w:t>Pas d'utilisation ou utilisation limitée de murs autour du réservoir</w:t>
            </w:r>
          </w:p>
        </w:tc>
        <w:tc>
          <w:tcPr>
            <w:tcW w:w="4925" w:type="dxa"/>
          </w:tcPr>
          <w:p w:rsidR="00091696" w:rsidRPr="00B42730" w:rsidRDefault="00091696" w:rsidP="00091696">
            <w:pPr>
              <w:rPr>
                <w:lang w:val="fr-FR"/>
              </w:rPr>
            </w:pPr>
          </w:p>
        </w:tc>
      </w:tr>
      <w:tr w:rsidR="00091696" w:rsidRPr="00B42730" w:rsidTr="00076804">
        <w:tc>
          <w:tcPr>
            <w:tcW w:w="8505" w:type="dxa"/>
          </w:tcPr>
          <w:p w:rsidR="00091696" w:rsidRPr="00091696" w:rsidRDefault="00091696" w:rsidP="00244C49">
            <w:pPr>
              <w:pStyle w:val="Toelichtingvraag"/>
              <w:ind w:left="0"/>
              <w:rPr>
                <w:b/>
                <w:lang w:val="fr-BE"/>
              </w:rPr>
            </w:pPr>
            <w:r w:rsidRPr="00091696">
              <w:rPr>
                <w:lang w:val="fr-BE"/>
              </w:rPr>
              <w:t xml:space="preserve">Un mur peut uniquement être placé si ce mur est nécessaire pour assurer la prévention incendie ou la distance de séparation nécessaire et uniquement sur un des côtés du réservoir. Dans ce cas, les murs doivent disposer de la résistance au feu nécessaire (càd </w:t>
            </w:r>
            <w:r w:rsidRPr="00091696">
              <w:rPr>
                <w:lang w:val="fr-BE"/>
              </w:rPr>
              <w:lastRenderedPageBreak/>
              <w:t>des murs coupe-feu). Des murs n'entravent pas uniquement la ventilation mais peuvent également rendre difficile l’évacuation et la lutte contre le feu.</w:t>
            </w:r>
          </w:p>
        </w:tc>
        <w:tc>
          <w:tcPr>
            <w:tcW w:w="4925" w:type="dxa"/>
          </w:tcPr>
          <w:p w:rsidR="00091696" w:rsidRPr="00091696" w:rsidRDefault="00091696" w:rsidP="00091696">
            <w:pPr>
              <w:rPr>
                <w:lang w:val="fr-BE"/>
              </w:rPr>
            </w:pPr>
          </w:p>
        </w:tc>
      </w:tr>
    </w:tbl>
    <w:p w:rsidR="0052042C" w:rsidRPr="00C05350" w:rsidRDefault="0052042C" w:rsidP="0052042C">
      <w:pPr>
        <w:rPr>
          <w:lang w:val="fr-BE"/>
        </w:rPr>
      </w:pPr>
    </w:p>
    <w:p w:rsidR="0052042C" w:rsidRDefault="0052042C">
      <w:pPr>
        <w:jc w:val="left"/>
        <w:rPr>
          <w:lang w:val="fr-BE"/>
        </w:rPr>
      </w:pPr>
      <w:r w:rsidRPr="00C05350">
        <w:rPr>
          <w:lang w:val="fr-BE"/>
        </w:rPr>
        <w:br w:type="page"/>
      </w:r>
    </w:p>
    <w:p w:rsidR="005A6F16" w:rsidRDefault="005A6F16" w:rsidP="005A6F16">
      <w:pPr>
        <w:rPr>
          <w:lang w:val="fr-BE"/>
        </w:rPr>
      </w:pPr>
    </w:p>
    <w:p w:rsidR="00A15052" w:rsidRPr="0052522C" w:rsidRDefault="00A15052" w:rsidP="00A70AF4">
      <w:pPr>
        <w:pStyle w:val="Kop2"/>
      </w:pPr>
      <w:bookmarkStart w:id="7" w:name="_Toc496177861"/>
      <w:r w:rsidRPr="0052522C">
        <w:t>Eviter des sources d’inflammation</w:t>
      </w:r>
      <w:bookmarkEnd w:id="7"/>
    </w:p>
    <w:tbl>
      <w:tblPr>
        <w:tblStyle w:val="Tabelraster"/>
        <w:tblW w:w="0" w:type="auto"/>
        <w:tblInd w:w="562" w:type="dxa"/>
        <w:tblLook w:val="04A0" w:firstRow="1" w:lastRow="0" w:firstColumn="1" w:lastColumn="0" w:noHBand="0" w:noVBand="1"/>
      </w:tblPr>
      <w:tblGrid>
        <w:gridCol w:w="8505"/>
        <w:gridCol w:w="4925"/>
      </w:tblGrid>
      <w:tr w:rsidR="00522630" w:rsidRPr="00B42730" w:rsidTr="0047279B">
        <w:tc>
          <w:tcPr>
            <w:tcW w:w="8505" w:type="dxa"/>
          </w:tcPr>
          <w:p w:rsidR="00522630" w:rsidRPr="00522630" w:rsidRDefault="00522630" w:rsidP="00244C49">
            <w:pPr>
              <w:pStyle w:val="Kop3"/>
            </w:pPr>
            <w:r w:rsidRPr="00522630">
              <w:t>Etincelles dues à l’appareillage électrique</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Maatregel"/>
              <w:numPr>
                <w:ilvl w:val="0"/>
                <w:numId w:val="2"/>
              </w:numPr>
              <w:tabs>
                <w:tab w:val="clear" w:pos="3686"/>
                <w:tab w:val="num" w:pos="567"/>
              </w:tabs>
              <w:ind w:left="567"/>
              <w:rPr>
                <w:lang w:val="fr-BE"/>
              </w:rPr>
            </w:pPr>
            <w:r w:rsidRPr="00522630">
              <w:rPr>
                <w:lang w:val="fr-BE"/>
              </w:rPr>
              <w:t>Réalisation sûre du point de vue explosion de l’installation électrique</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Les lieux de stockage et le système de tuyauteries font l’objet d’un dossier de zonage et d’un document relatif à la protection contre les explosions.</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L’entreprise dispose d’une attestation de conformité établie par un organisme agréé, rédigée suite à la première mise en service de l’installation électrique ou suite à des modifications importantes ou des extensions significatives, conformément à l’article 270 du RGIE. (Cette imposition réglementaire est évidemment seulement d’application pour les installations électriques et les modifications qui ont eu lieu après l’entrée en vigueur du RGIE en 1981.)</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L'installation à basse tension est contrôlée tous les 5 ans sauf si c’est mentionné autrement dans le permis d'environnement ou dans le dernier rapport de contrôle.</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Si des infractions sont mentionnées dans le rapport de contrôle périodique, l’exploitant démontre que les réparations ou adaptations nécessaires ont été correctement exécutées (ou que leur exécution est planifiée).</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rPr>
                <w:lang w:val="fr-BE"/>
              </w:rPr>
            </w:pPr>
            <w:r w:rsidRPr="00522630">
              <w:rPr>
                <w:lang w:val="fr-BE"/>
              </w:rPr>
              <w:t>L’article 16 de l’AR’68 stipule que le nombre d’appareils électriques dans les dépôts</w:t>
            </w:r>
            <w:r w:rsidRPr="00522630">
              <w:rPr>
                <w:bCs/>
                <w:lang w:val="fr-BE"/>
              </w:rPr>
              <w:t>, en réservoirs fixes non réfrigérés, de gaz propane et de gaz butane liquéfiés commerciaux ou de leurs mélanges</w:t>
            </w:r>
            <w:r w:rsidRPr="00522630">
              <w:rPr>
                <w:lang w:val="fr-BE"/>
              </w:rPr>
              <w:t>, est limité au strict minimum nécessaire. Seule la basse tension est permise dans ces dépôts.</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Mesure"/>
              <w:rPr>
                <w:szCs w:val="20"/>
              </w:rPr>
            </w:pPr>
            <w:r w:rsidRPr="00522630">
              <w:t>Interdiction d'utiliser des appareils portatifs non-EEX</w:t>
            </w:r>
          </w:p>
        </w:tc>
        <w:tc>
          <w:tcPr>
            <w:tcW w:w="4925" w:type="dxa"/>
          </w:tcPr>
          <w:p w:rsidR="00522630" w:rsidRPr="0047279B" w:rsidRDefault="00522630" w:rsidP="00522630">
            <w:pPr>
              <w:rPr>
                <w:lang w:val="fr-FR"/>
              </w:rPr>
            </w:pPr>
          </w:p>
        </w:tc>
      </w:tr>
      <w:tr w:rsidR="00522630" w:rsidRPr="00522630" w:rsidTr="0047279B">
        <w:tc>
          <w:tcPr>
            <w:tcW w:w="8505" w:type="dxa"/>
          </w:tcPr>
          <w:p w:rsidR="00522630" w:rsidRPr="00522630" w:rsidRDefault="00522630" w:rsidP="00244C49">
            <w:pPr>
              <w:pStyle w:val="Toelichtingvraag"/>
              <w:ind w:left="0"/>
              <w:rPr>
                <w:lang w:val="fr-BE"/>
              </w:rPr>
            </w:pPr>
            <w:r w:rsidRPr="00522630">
              <w:rPr>
                <w:lang w:val="fr-BE"/>
              </w:rPr>
              <w:t>L'interdiction est reprise dans le règlement général de sécurité de l'entreprise. Une interdiction d'utilisation de GSM non-EEX est indiquée:</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insprong1"/>
            </w:pPr>
            <w:r w:rsidRPr="00522630">
              <w:lastRenderedPageBreak/>
              <w:t>à l'entrée du terrain</w:t>
            </w:r>
          </w:p>
        </w:tc>
        <w:tc>
          <w:tcPr>
            <w:tcW w:w="4925" w:type="dxa"/>
          </w:tcPr>
          <w:p w:rsidR="00522630" w:rsidRPr="00522630" w:rsidRDefault="00522630" w:rsidP="00522630"/>
        </w:tc>
      </w:tr>
      <w:tr w:rsidR="00522630" w:rsidRPr="00522630" w:rsidTr="0047279B">
        <w:tc>
          <w:tcPr>
            <w:tcW w:w="8505" w:type="dxa"/>
          </w:tcPr>
          <w:p w:rsidR="00522630" w:rsidRPr="00522630" w:rsidRDefault="00522630" w:rsidP="00244C49">
            <w:pPr>
              <w:pStyle w:val="toelichtingvraaginsprong1"/>
            </w:pPr>
            <w:r w:rsidRPr="00522630">
              <w:t>au parc à réservoirs.</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Mesure"/>
              <w:rPr>
                <w:szCs w:val="20"/>
              </w:rPr>
            </w:pPr>
            <w:r w:rsidRPr="00522630">
              <w:t>Appareils portatifs en exécution EEX</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Cela concerne les appareils portatifs tels que:</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insprong1"/>
            </w:pPr>
            <w:r w:rsidRPr="00522630">
              <w:t>GSM</w:t>
            </w:r>
          </w:p>
        </w:tc>
        <w:tc>
          <w:tcPr>
            <w:tcW w:w="4925" w:type="dxa"/>
          </w:tcPr>
          <w:p w:rsidR="00522630" w:rsidRPr="00522630" w:rsidRDefault="00522630" w:rsidP="00522630"/>
        </w:tc>
      </w:tr>
      <w:tr w:rsidR="00522630" w:rsidRPr="00522630" w:rsidTr="0047279B">
        <w:tc>
          <w:tcPr>
            <w:tcW w:w="8505" w:type="dxa"/>
          </w:tcPr>
          <w:p w:rsidR="00522630" w:rsidRPr="00522630" w:rsidRDefault="00522630" w:rsidP="00244C49">
            <w:pPr>
              <w:pStyle w:val="toelichtingvraaginsprong1"/>
            </w:pPr>
            <w:r w:rsidRPr="00522630">
              <w:t>Appareils pour radiocommunication</w:t>
            </w:r>
          </w:p>
        </w:tc>
        <w:tc>
          <w:tcPr>
            <w:tcW w:w="4925" w:type="dxa"/>
          </w:tcPr>
          <w:p w:rsidR="00522630" w:rsidRPr="00522630" w:rsidRDefault="00522630" w:rsidP="00522630"/>
        </w:tc>
      </w:tr>
      <w:tr w:rsidR="00522630" w:rsidRPr="00522630" w:rsidTr="0047279B">
        <w:tc>
          <w:tcPr>
            <w:tcW w:w="8505" w:type="dxa"/>
          </w:tcPr>
          <w:p w:rsidR="00522630" w:rsidRPr="00522630" w:rsidRDefault="00522630" w:rsidP="00244C49">
            <w:pPr>
              <w:pStyle w:val="toelichtingvraaginsprong1"/>
            </w:pPr>
            <w:r w:rsidRPr="00522630">
              <w:t>lampes de poche.</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Ces appareils sont repris dans un programme d'inspection. On vérifie périodiquement si les appareils sont encore en bon état: pas de fuite au niveau des batteries, caisson intact, etc.</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Kop3"/>
            </w:pPr>
            <w:r w:rsidRPr="00522630">
              <w:t xml:space="preserve">Etincelles électrostatiques </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Mesure"/>
            </w:pPr>
            <w:r w:rsidRPr="00522630">
              <w:t>Chaussures et vêtements antistatiques pour effectuer des travaux</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Le port de chaussures et vêtements antistatiques est obligatoire pour le personnel de l'entreprise et pour les tiers qui effectuent des travaux dans le parc à tanks ou au système de tuyauteries duquel des gaz inflammables peuvent se libérer (par ex. le drainage de l’eau hors des tanks, l’ouverture de tuyauteries ou d’équipements dans lequels des gaz inflammables sont encore (peuvent encore être) présents).</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b/>
                <w:lang w:val="fr-BE"/>
              </w:rPr>
            </w:pPr>
            <w:r w:rsidRPr="00522630">
              <w:rPr>
                <w:lang w:val="fr-BE"/>
              </w:rPr>
              <w:t>Il y a une interdiction d’enfiler et de retirer des vêtements dans l’installation car c’est surtout à ce moment-là que se présente le risque d’avoir des étincelles électrostatiques.</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Mesure"/>
            </w:pPr>
            <w:r w:rsidRPr="00522630">
              <w:t>Surface suffisamment conductrice</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
              <w:ind w:left="0"/>
              <w:rPr>
                <w:b/>
                <w:lang w:val="fr-BE"/>
              </w:rPr>
            </w:pPr>
            <w:r w:rsidRPr="00522630">
              <w:rPr>
                <w:lang w:val="fr-BE"/>
              </w:rPr>
              <w:t>Par exemple, le béton non-traité est suffisamment conducteur tandis que l’asphalte et les résines époxy sont insuffisamment conducteurs.</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Mesure"/>
            </w:pPr>
            <w:r w:rsidRPr="00522630">
              <w:t>Connexions équipotentielles</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lastRenderedPageBreak/>
              <w:t>La fixation solide des connexions équipotentielles est contrôlée pendant les rondes périodiques de contrôle.</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Kop3"/>
            </w:pPr>
            <w:r w:rsidRPr="00522630">
              <w:t>Flamme nue</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Mesure"/>
            </w:pPr>
            <w:r w:rsidRPr="00522630">
              <w:t>Placement de panneaux d’interdiction ‘Interdiction de feu, de flamme nue et de fumer’</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Le panneau ‘Feu, flamme nue interdite et défense de fumer’ est représenté dans le livre III, Titre 6 du Code du bien-être au travail (Signalisation de sécurité et de santé).</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En ce qui concerne la localisation de ce panneau, le Code impose les conditions suivantes:</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insprong1"/>
            </w:pPr>
            <w:r w:rsidRPr="00522630">
              <w:t>à une hauteur et selon une position appropriée par rapport à l'angle de vue</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insprong1"/>
            </w:pPr>
            <w:r w:rsidRPr="00522630">
              <w:t>à l'accès à une zone où le risque dû à la présence d’une flamme nue existe</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insprong1"/>
            </w:pPr>
            <w:r w:rsidRPr="00522630">
              <w:t>dans un endroit bien éclairé et facilement accessible et visible.</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Mesure"/>
            </w:pPr>
            <w:r w:rsidRPr="00522630">
              <w:t>Travaux à flamme nue ou avec étincelles soumis à un permis de travail à chaud</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Les travaux avec flamme nue tels que:</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insprong1"/>
            </w:pPr>
            <w:r w:rsidRPr="00522630">
              <w:t>des travaux de soudure</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insprong1"/>
            </w:pPr>
            <w:r w:rsidRPr="00522630">
              <w:t>l’oxycoupage (c’est-à-dire la découpe de métaux par jet d’oxygène pur).</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Des travaux qui peuvent produire des étincelles, tels que:</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insprong1"/>
            </w:pPr>
            <w:r w:rsidRPr="00522630">
              <w:t>la découpe à l’aide d’outils tels que scie à bande, scie circulaire</w:t>
            </w:r>
          </w:p>
        </w:tc>
        <w:tc>
          <w:tcPr>
            <w:tcW w:w="4925" w:type="dxa"/>
          </w:tcPr>
          <w:p w:rsidR="00522630" w:rsidRPr="0047279B" w:rsidRDefault="00522630" w:rsidP="00522630">
            <w:pPr>
              <w:rPr>
                <w:lang w:val="fr-FR"/>
              </w:rPr>
            </w:pPr>
          </w:p>
        </w:tc>
      </w:tr>
      <w:tr w:rsidR="00522630" w:rsidRPr="00522630" w:rsidTr="0047279B">
        <w:tc>
          <w:tcPr>
            <w:tcW w:w="8505" w:type="dxa"/>
          </w:tcPr>
          <w:p w:rsidR="00522630" w:rsidRPr="00522630" w:rsidRDefault="00522630" w:rsidP="00244C49">
            <w:pPr>
              <w:pStyle w:val="toelichtingvraaginsprong1"/>
            </w:pPr>
            <w:r w:rsidRPr="00522630">
              <w:t>le meulage</w:t>
            </w:r>
          </w:p>
        </w:tc>
        <w:tc>
          <w:tcPr>
            <w:tcW w:w="4925" w:type="dxa"/>
          </w:tcPr>
          <w:p w:rsidR="00522630" w:rsidRPr="00522630" w:rsidRDefault="00522630" w:rsidP="00522630"/>
        </w:tc>
      </w:tr>
      <w:tr w:rsidR="00522630" w:rsidRPr="00522630" w:rsidTr="0047279B">
        <w:tc>
          <w:tcPr>
            <w:tcW w:w="8505" w:type="dxa"/>
          </w:tcPr>
          <w:p w:rsidR="00522630" w:rsidRPr="00522630" w:rsidRDefault="00522630" w:rsidP="00244C49">
            <w:pPr>
              <w:pStyle w:val="toelichtingvraaginsprong1"/>
            </w:pPr>
            <w:r w:rsidRPr="00522630">
              <w:t>le ponçage.</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lastRenderedPageBreak/>
              <w:t>Il est de pratique courante de soumettre également au système de permis de travail à chaud les travaux avec de quelconques appareils électriques pas sûrs du point de vue explosion dans des endroits zonés.</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Mesure"/>
            </w:pPr>
            <w:r w:rsidRPr="00522630">
              <w:t>Distances de sécurité v.à.v. des lieux avec flamme nue</w:t>
            </w:r>
          </w:p>
        </w:tc>
        <w:tc>
          <w:tcPr>
            <w:tcW w:w="4925" w:type="dxa"/>
          </w:tcPr>
          <w:p w:rsidR="00522630" w:rsidRPr="0047279B"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Dans l’AR’68 sont données les distances minimales (mesurées dans une projection horizontale), qui doivent séparer le réservoir, les vannes, les pompes et ouvertures de remplissage de toute:</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insprong1"/>
            </w:pPr>
            <w:r w:rsidRPr="00522630">
              <w:t>ouverture d’un local habité</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insprong1"/>
            </w:pPr>
            <w:r w:rsidRPr="00522630">
              <w:t>ouverture d’un local de travail non soumis à l’interdiction de flamme nue</w:t>
            </w:r>
          </w:p>
        </w:tc>
        <w:tc>
          <w:tcPr>
            <w:tcW w:w="4925" w:type="dxa"/>
          </w:tcPr>
          <w:p w:rsidR="00522630" w:rsidRPr="0047279B" w:rsidRDefault="00522630" w:rsidP="00522630">
            <w:pPr>
              <w:rPr>
                <w:lang w:val="fr-FR"/>
              </w:rPr>
            </w:pPr>
          </w:p>
        </w:tc>
      </w:tr>
      <w:tr w:rsidR="00522630" w:rsidRPr="00522630" w:rsidTr="0047279B">
        <w:tc>
          <w:tcPr>
            <w:tcW w:w="8505" w:type="dxa"/>
          </w:tcPr>
          <w:p w:rsidR="00522630" w:rsidRPr="00522630" w:rsidRDefault="00522630" w:rsidP="00244C49">
            <w:pPr>
              <w:pStyle w:val="toelichtingvraaginsprong1"/>
            </w:pPr>
            <w:r w:rsidRPr="00522630">
              <w:t>voie publique</w:t>
            </w:r>
          </w:p>
        </w:tc>
        <w:tc>
          <w:tcPr>
            <w:tcW w:w="4925" w:type="dxa"/>
          </w:tcPr>
          <w:p w:rsidR="00522630" w:rsidRPr="00522630" w:rsidRDefault="00522630" w:rsidP="00522630"/>
        </w:tc>
      </w:tr>
      <w:tr w:rsidR="00522630" w:rsidRPr="00522630" w:rsidTr="0047279B">
        <w:tc>
          <w:tcPr>
            <w:tcW w:w="8505" w:type="dxa"/>
          </w:tcPr>
          <w:p w:rsidR="00522630" w:rsidRPr="00522630" w:rsidRDefault="00522630" w:rsidP="00244C49">
            <w:pPr>
              <w:pStyle w:val="toelichtingvraaginsprong1"/>
            </w:pPr>
            <w:r w:rsidRPr="00522630">
              <w:t>propriété voisine.</w:t>
            </w:r>
          </w:p>
        </w:tc>
        <w:tc>
          <w:tcPr>
            <w:tcW w:w="4925" w:type="dxa"/>
          </w:tcPr>
          <w:p w:rsidR="00522630" w:rsidRPr="00522630" w:rsidRDefault="00522630" w:rsidP="00522630"/>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Les distances par rapport aux réservoirs sont données dans le tableau ci-dessous en fonction de la capacité.</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rPr>
                <w:b/>
              </w:rPr>
            </w:pPr>
            <w:r w:rsidRPr="00522630">
              <w:rPr>
                <w:b/>
              </w:rPr>
              <w:t>Capacité totale du réservoir</w:t>
            </w:r>
          </w:p>
        </w:tc>
        <w:tc>
          <w:tcPr>
            <w:tcW w:w="4925" w:type="dxa"/>
          </w:tcPr>
          <w:p w:rsidR="00522630" w:rsidRPr="00522630" w:rsidRDefault="00522630" w:rsidP="00522630">
            <w:pPr>
              <w:rPr>
                <w:b/>
              </w:rPr>
            </w:pPr>
          </w:p>
        </w:tc>
      </w:tr>
      <w:tr w:rsidR="00522630" w:rsidRPr="00522630" w:rsidTr="0047279B">
        <w:tc>
          <w:tcPr>
            <w:tcW w:w="8505" w:type="dxa"/>
          </w:tcPr>
          <w:p w:rsidR="00522630" w:rsidRPr="00522630" w:rsidRDefault="00522630" w:rsidP="00244C49">
            <w:pPr>
              <w:pStyle w:val="Toelichtingvraag"/>
              <w:ind w:left="0"/>
              <w:jc w:val="center"/>
              <w:rPr>
                <w:b/>
                <w:lang w:val="fr-FR"/>
              </w:rPr>
            </w:pPr>
            <w:r w:rsidRPr="00522630">
              <w:rPr>
                <w:b/>
                <w:lang w:val="fr-FR"/>
              </w:rPr>
              <w:t>Distance minimale</w:t>
            </w:r>
          </w:p>
        </w:tc>
        <w:tc>
          <w:tcPr>
            <w:tcW w:w="4925" w:type="dxa"/>
          </w:tcPr>
          <w:p w:rsidR="00522630" w:rsidRPr="00522630" w:rsidRDefault="00522630" w:rsidP="00522630">
            <w:pPr>
              <w:rPr>
                <w:b/>
                <w:lang w:val="fr-FR"/>
              </w:rPr>
            </w:pPr>
          </w:p>
        </w:tc>
      </w:tr>
      <w:tr w:rsidR="00522630" w:rsidRPr="00522630" w:rsidTr="0047279B">
        <w:tc>
          <w:tcPr>
            <w:tcW w:w="8505" w:type="dxa"/>
          </w:tcPr>
          <w:p w:rsidR="00522630" w:rsidRPr="00522630" w:rsidRDefault="00522630" w:rsidP="00244C49">
            <w:pPr>
              <w:pStyle w:val="Toelichtingvraag"/>
              <w:ind w:left="0"/>
              <w:rPr>
                <w:lang w:val="fr-FR"/>
              </w:rPr>
            </w:pPr>
            <w:r w:rsidRPr="00522630">
              <w:rPr>
                <w:lang w:val="fr-FR"/>
              </w:rPr>
              <w:t>Moins de 5 m³</w:t>
            </w:r>
          </w:p>
        </w:tc>
        <w:tc>
          <w:tcPr>
            <w:tcW w:w="4925" w:type="dxa"/>
          </w:tcPr>
          <w:p w:rsidR="00522630" w:rsidRPr="00522630" w:rsidRDefault="00522630" w:rsidP="00522630">
            <w:pPr>
              <w:rPr>
                <w:lang w:val="fr-FR"/>
              </w:rPr>
            </w:pPr>
          </w:p>
        </w:tc>
      </w:tr>
      <w:tr w:rsidR="00522630" w:rsidRPr="00522630" w:rsidTr="0047279B">
        <w:tc>
          <w:tcPr>
            <w:tcW w:w="8505" w:type="dxa"/>
          </w:tcPr>
          <w:p w:rsidR="00522630" w:rsidRPr="00522630" w:rsidRDefault="00522630" w:rsidP="00244C49">
            <w:pPr>
              <w:pStyle w:val="Toelichtingvraag"/>
              <w:ind w:left="0"/>
              <w:jc w:val="center"/>
              <w:rPr>
                <w:lang w:val="fr-FR"/>
              </w:rPr>
            </w:pPr>
            <w:r w:rsidRPr="00522630">
              <w:rPr>
                <w:lang w:val="fr-FR"/>
              </w:rPr>
              <w:t>5,0 m</w:t>
            </w:r>
          </w:p>
        </w:tc>
        <w:tc>
          <w:tcPr>
            <w:tcW w:w="4925" w:type="dxa"/>
          </w:tcPr>
          <w:p w:rsidR="00522630" w:rsidRPr="00522630"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De 5 m³ à moins de 10 m³</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jc w:val="center"/>
              <w:rPr>
                <w:lang w:val="fr-FR"/>
              </w:rPr>
            </w:pPr>
            <w:r w:rsidRPr="00522630">
              <w:rPr>
                <w:lang w:val="fr-FR"/>
              </w:rPr>
              <w:t>7,5 m</w:t>
            </w:r>
          </w:p>
        </w:tc>
        <w:tc>
          <w:tcPr>
            <w:tcW w:w="4925" w:type="dxa"/>
          </w:tcPr>
          <w:p w:rsidR="00522630" w:rsidRPr="00522630"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De 10 m³ à moins de 25 m³</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jc w:val="center"/>
              <w:rPr>
                <w:lang w:val="fr-FR"/>
              </w:rPr>
            </w:pPr>
            <w:r w:rsidRPr="00522630">
              <w:rPr>
                <w:lang w:val="fr-FR"/>
              </w:rPr>
              <w:t>10,0 m</w:t>
            </w:r>
          </w:p>
        </w:tc>
        <w:tc>
          <w:tcPr>
            <w:tcW w:w="4925" w:type="dxa"/>
          </w:tcPr>
          <w:p w:rsidR="00522630" w:rsidRPr="00522630"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lastRenderedPageBreak/>
              <w:t>De 25 m³ à moins de 50 m³</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jc w:val="center"/>
              <w:rPr>
                <w:lang w:val="fr-FR"/>
              </w:rPr>
            </w:pPr>
            <w:r w:rsidRPr="00522630">
              <w:rPr>
                <w:lang w:val="fr-FR"/>
              </w:rPr>
              <w:t>15,0 m</w:t>
            </w:r>
          </w:p>
        </w:tc>
        <w:tc>
          <w:tcPr>
            <w:tcW w:w="4925" w:type="dxa"/>
          </w:tcPr>
          <w:p w:rsidR="00522630" w:rsidRPr="00522630" w:rsidRDefault="00522630" w:rsidP="00522630">
            <w:pPr>
              <w:rPr>
                <w:lang w:val="fr-FR"/>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De 50 m³ à moins de 250 m³</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jc w:val="center"/>
              <w:rPr>
                <w:lang w:val="fr-BE"/>
              </w:rPr>
            </w:pPr>
            <w:r w:rsidRPr="00522630">
              <w:rPr>
                <w:lang w:val="fr-BE"/>
              </w:rPr>
              <w:t>25,0 m</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rPr>
                <w:lang w:val="fr-BE"/>
              </w:rPr>
            </w:pPr>
            <w:r w:rsidRPr="00522630">
              <w:rPr>
                <w:lang w:val="fr-BE"/>
              </w:rPr>
              <w:t>A partir de 250 m³</w:t>
            </w:r>
          </w:p>
        </w:tc>
        <w:tc>
          <w:tcPr>
            <w:tcW w:w="4925" w:type="dxa"/>
          </w:tcPr>
          <w:p w:rsidR="00522630" w:rsidRPr="00522630" w:rsidRDefault="00522630" w:rsidP="00522630">
            <w:pPr>
              <w:rPr>
                <w:lang w:val="fr-BE"/>
              </w:rPr>
            </w:pPr>
          </w:p>
        </w:tc>
      </w:tr>
      <w:tr w:rsidR="00522630" w:rsidRPr="00522630" w:rsidTr="0047279B">
        <w:tc>
          <w:tcPr>
            <w:tcW w:w="8505" w:type="dxa"/>
          </w:tcPr>
          <w:p w:rsidR="00522630" w:rsidRPr="00522630" w:rsidRDefault="00522630" w:rsidP="00244C49">
            <w:pPr>
              <w:pStyle w:val="Toelichtingvraag"/>
              <w:ind w:left="0"/>
              <w:jc w:val="center"/>
              <w:rPr>
                <w:lang w:val="fr-BE"/>
              </w:rPr>
            </w:pPr>
            <w:r w:rsidRPr="00522630">
              <w:rPr>
                <w:lang w:val="fr-BE"/>
              </w:rPr>
              <w:t>35,0 m</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spacing w:before="240"/>
              <w:ind w:left="0"/>
              <w:rPr>
                <w:lang w:val="fr-BE"/>
              </w:rPr>
            </w:pPr>
            <w:r w:rsidRPr="00522630">
              <w:rPr>
                <w:lang w:val="fr-BE"/>
              </w:rPr>
              <w:t>La distance minimale qui doit séparer les soupapes, les pompes et les bouches de remplissage de toute ouverture d'un local d'habitation, de toute ouverture d'un local de travail non soumis à l'interdiction de feu nu, de toute voie publique et de toute propriété voisine est fixée à 5 m.</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lang w:val="fr-BE"/>
              </w:rPr>
              <w:t>Ces distances peuvent être diminuées lorsque l’on a placé entre les ouvertures ou les lieux cités ci-dessus et les réservoirs, les vannes, les pompes et les ouvertures de remplissage, un écran fermé et incombustible d’au-moins 2.5 m de haut et ce au moins à 1 m de distance de ces réservoirs, vannes, pompes et ouvertures de remplissage, et lorsque la distance mesurée horizontalement autour de l’écran est au moins égale aux distances minimales citées ci-dessus.</w:t>
            </w:r>
          </w:p>
        </w:tc>
        <w:tc>
          <w:tcPr>
            <w:tcW w:w="4925" w:type="dxa"/>
          </w:tcPr>
          <w:p w:rsidR="00522630" w:rsidRPr="00522630" w:rsidRDefault="00522630" w:rsidP="00522630">
            <w:pPr>
              <w:rPr>
                <w:lang w:val="fr-BE"/>
              </w:rPr>
            </w:pPr>
          </w:p>
        </w:tc>
      </w:tr>
      <w:tr w:rsidR="00522630" w:rsidRPr="00B42730" w:rsidTr="0047279B">
        <w:tc>
          <w:tcPr>
            <w:tcW w:w="8505" w:type="dxa"/>
          </w:tcPr>
          <w:p w:rsidR="00522630" w:rsidRPr="00522630" w:rsidRDefault="00522630" w:rsidP="00244C49">
            <w:pPr>
              <w:pStyle w:val="Toelichtingvraag"/>
              <w:ind w:left="0"/>
              <w:rPr>
                <w:lang w:val="fr-BE"/>
              </w:rPr>
            </w:pPr>
            <w:r w:rsidRPr="00522630">
              <w:rPr>
                <w:rFonts w:cs="TTE1404D78t00"/>
                <w:lang w:val="fr-BE"/>
              </w:rPr>
              <w:t xml:space="preserve">A l’annexe 5.17.1.C du Vlarem II, on reprend des distances de séparation pour des lieux de stockage destinés à des réservoirs de gaz fixes, non-réfrigérés, autres que pour </w:t>
            </w:r>
            <w:r w:rsidRPr="00522630">
              <w:rPr>
                <w:lang w:val="fr-BE"/>
              </w:rPr>
              <w:t>du gaz propane et du gaz butane liquéfiés commerciaux ou de leurs mélanges</w:t>
            </w:r>
            <w:r w:rsidRPr="00522630">
              <w:rPr>
                <w:rFonts w:cs="TTE1404D78t00"/>
                <w:lang w:val="fr-BE"/>
              </w:rPr>
              <w:t>. Ce tableau avec les distances est repris dans la partie 2.2 Réglementation flamande.</w:t>
            </w:r>
          </w:p>
        </w:tc>
        <w:tc>
          <w:tcPr>
            <w:tcW w:w="4925" w:type="dxa"/>
          </w:tcPr>
          <w:p w:rsidR="00522630" w:rsidRPr="00522630" w:rsidRDefault="00522630" w:rsidP="00522630">
            <w:pPr>
              <w:rPr>
                <w:rFonts w:cs="TTE1404D78t00"/>
                <w:lang w:val="fr-BE"/>
              </w:rPr>
            </w:pPr>
          </w:p>
        </w:tc>
      </w:tr>
    </w:tbl>
    <w:p w:rsidR="0081476D" w:rsidRPr="00C05350" w:rsidRDefault="0081476D" w:rsidP="0081476D">
      <w:pPr>
        <w:rPr>
          <w:lang w:val="fr-BE"/>
        </w:rPr>
      </w:pPr>
      <w:bookmarkStart w:id="8" w:name="_Toc424742611"/>
    </w:p>
    <w:p w:rsidR="0081476D" w:rsidRDefault="0081476D">
      <w:pPr>
        <w:jc w:val="left"/>
        <w:rPr>
          <w:lang w:val="fr-BE"/>
        </w:rPr>
      </w:pPr>
      <w:r w:rsidRPr="00C05350">
        <w:rPr>
          <w:lang w:val="fr-BE"/>
        </w:rPr>
        <w:br w:type="page"/>
      </w:r>
    </w:p>
    <w:p w:rsidR="005A6F16" w:rsidRDefault="005A6F16" w:rsidP="005A6F16">
      <w:pPr>
        <w:rPr>
          <w:lang w:val="fr-BE"/>
        </w:rPr>
      </w:pPr>
    </w:p>
    <w:p w:rsidR="00132BCA" w:rsidRPr="0052522C" w:rsidRDefault="006A2E1F" w:rsidP="00A70AF4">
      <w:pPr>
        <w:pStyle w:val="Kop2"/>
      </w:pPr>
      <w:bookmarkStart w:id="9" w:name="_Toc496177862"/>
      <w:r w:rsidRPr="0052522C">
        <w:t>Limitation des dommages dus à l’incendie</w:t>
      </w:r>
      <w:bookmarkEnd w:id="8"/>
      <w:bookmarkEnd w:id="9"/>
      <w:r w:rsidR="00362AF5" w:rsidRPr="0052522C">
        <w:t xml:space="preserve"> </w:t>
      </w:r>
    </w:p>
    <w:tbl>
      <w:tblPr>
        <w:tblStyle w:val="Tabelraster"/>
        <w:tblW w:w="0" w:type="auto"/>
        <w:tblInd w:w="562" w:type="dxa"/>
        <w:tblLook w:val="04A0" w:firstRow="1" w:lastRow="0" w:firstColumn="1" w:lastColumn="0" w:noHBand="0" w:noVBand="1"/>
      </w:tblPr>
      <w:tblGrid>
        <w:gridCol w:w="8505"/>
        <w:gridCol w:w="4925"/>
      </w:tblGrid>
      <w:tr w:rsidR="0028614F" w:rsidRPr="009516B3" w:rsidTr="0028614F">
        <w:tc>
          <w:tcPr>
            <w:tcW w:w="8505" w:type="dxa"/>
          </w:tcPr>
          <w:p w:rsidR="0028614F" w:rsidRPr="009516B3" w:rsidRDefault="0028614F" w:rsidP="008412B8">
            <w:pPr>
              <w:pStyle w:val="Kop3"/>
              <w:rPr>
                <w:lang w:val="nl-BE"/>
              </w:rPr>
            </w:pPr>
            <w:r w:rsidRPr="009516B3">
              <w:t>Extension d’un feu naissant</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Mesure"/>
              <w:rPr>
                <w:szCs w:val="20"/>
              </w:rPr>
            </w:pPr>
            <w:r w:rsidRPr="009516B3">
              <w:t>Extincteurs portatifs à proximité du réservoir</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Les extincteurs portatifs ne sont pas adaptés pour éteindre un feu de gaz. Ils peuvent par contre être utilisés pour éteindre d’autres feux naissant.</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Nombre et localisation</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insprong1"/>
            </w:pPr>
            <w:r w:rsidRPr="009516B3">
              <w:t>Facilement accessibles</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insprong1"/>
              <w:rPr>
                <w:rFonts w:ascii="TTE1776740t00" w:hAnsi="TTE1776740t00" w:cs="TTE1776740t00"/>
              </w:rPr>
            </w:pPr>
            <w:r w:rsidRPr="009516B3">
              <w:t xml:space="preserve">Déterminés en concertation avec le Service Incendie local compétent. Les conclusions figurent dans un rapport (rédigé par le Service Incendie local et/ou l'entreprise). </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Inspection et entretien</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t>Les extincteurs portatifs sont repris dans un programme d'inspection/entretien:</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contrôle visuel périodique de la présence et de l’accessibilité des extincteurs</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inspection annuelle approfondie de chaque extincteur par une personne qualifiée.</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Formation</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insprong1"/>
            </w:pPr>
            <w:r w:rsidRPr="009516B3">
              <w:t>Les travailleurs reçoivent un entraînement périodique à l'utilisation d'extincteurs portatifs. La participation à ces formations est enregistrée.</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lastRenderedPageBreak/>
              <w:t>Signalisation</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t>Les extincteurs portatifs sont peints en rouge et clairement signalés.</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Kop3"/>
            </w:pPr>
            <w:r w:rsidRPr="009516B3">
              <w:t>Rupture du réservoir à cause d’un incendie</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Mesure"/>
            </w:pPr>
            <w:r w:rsidRPr="009516B3">
              <w:t>Recouvrement</w:t>
            </w:r>
            <w:r w:rsidRPr="009516B3">
              <w:rPr>
                <w:lang w:eastAsia="nl-BE"/>
              </w:rPr>
              <w:t xml:space="preserve"> de terre</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La mise sous tertre du réservoir est une alternative pour les mesures listées ci-dessous.</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Pour être considéré comme réservoir sous-tertre ou enterré, il faut au moins 0,3 m de recouvrement de terre.</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Mesure"/>
            </w:pPr>
            <w:r w:rsidRPr="009516B3">
              <w:rPr>
                <w:rStyle w:val="hps"/>
              </w:rPr>
              <w:t>Distance de sécurité</w:t>
            </w:r>
            <w:r w:rsidRPr="009516B3">
              <w:t xml:space="preserve"> </w:t>
            </w:r>
            <w:r w:rsidRPr="009516B3">
              <w:rPr>
                <w:rStyle w:val="hps"/>
              </w:rPr>
              <w:t>entre le réservoir</w:t>
            </w:r>
            <w:r w:rsidRPr="009516B3">
              <w:t xml:space="preserve"> </w:t>
            </w:r>
            <w:r w:rsidRPr="009516B3">
              <w:rPr>
                <w:rStyle w:val="hps"/>
              </w:rPr>
              <w:t>et les pompes ou les compresseurs</w:t>
            </w:r>
          </w:p>
        </w:tc>
        <w:tc>
          <w:tcPr>
            <w:tcW w:w="4925" w:type="dxa"/>
          </w:tcPr>
          <w:p w:rsidR="0028614F" w:rsidRPr="0028614F" w:rsidRDefault="0028614F" w:rsidP="0028614F">
            <w:pPr>
              <w:rPr>
                <w:rStyle w:val="hps"/>
                <w:lang w:val="fr-FR"/>
              </w:rPr>
            </w:pPr>
          </w:p>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Dans le standard API 2510 ‘Design and Construction of LPG Installations’, sont données une série de distances de sécurité en vue de limiter le risque d’incendie et d’explosion. Les distances minimales suivantes sont mentionnées:</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t>entre un réservoir de LPG et les pompes: 1,5 m;</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entre deux sphères de LPG ou entre une sphère de LPG et un réservoir cylindrique vertical de LPG: 1.5 m ou la moitié du diamètre du plus grand réservoir, la distance la plus grande étant retenue;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entre deux réservoirs horizontaux ou entre un réservoir horizontal et une sphère ou un réservoir vertical de LPG: 1,5 m ou 75% du diamètre du plus grand réservoir, la distance la plus grande étant retenue.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Les réservoirs horizontaux de LPG d’une capacité de 45 m³ (12.000 gallons) ou plus peuvent être groupés en groupes de maximum 6 réservoirs. Chaque groupe est séparé d’un autre groupe d’une distance minimale égale à 15 m (50 ft).</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Les réservoirs de LPG sous pression ne peuvent pas être placés dans des bâtiments, ni dans l’encuvement de réservoirs de liquides (facilement) inflammables ou combustibles.</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rFonts w:cs="TTE1404D78t00"/>
                <w:lang w:val="fr-BE"/>
              </w:rPr>
              <w:lastRenderedPageBreak/>
              <w:t xml:space="preserve">A l’annexe 5.17.1.C du Vlarem II, on reprend des distances de séparation pour des lieux de stockage pour des réservoirs de gaz fixes, non-réfrigérés, autres que pour </w:t>
            </w:r>
            <w:r w:rsidRPr="009516B3">
              <w:rPr>
                <w:lang w:val="fr-BE"/>
              </w:rPr>
              <w:t>du gaz propane et du gaz butane liquéfiés commerciaux ou de leurs mélanges</w:t>
            </w:r>
            <w:r w:rsidRPr="009516B3">
              <w:rPr>
                <w:rFonts w:cs="TTE1404D78t00"/>
                <w:lang w:val="fr-BE"/>
              </w:rPr>
              <w:t>. Ce tableau avec les distances est repris dans la partie 2.2 Réglementation flamande.</w:t>
            </w:r>
          </w:p>
        </w:tc>
        <w:tc>
          <w:tcPr>
            <w:tcW w:w="4925" w:type="dxa"/>
          </w:tcPr>
          <w:p w:rsidR="0028614F" w:rsidRPr="009516B3" w:rsidRDefault="0028614F" w:rsidP="0028614F">
            <w:pPr>
              <w:rPr>
                <w:rFonts w:cs="TTE1404D78t00"/>
                <w:lang w:val="fr-BE"/>
              </w:rPr>
            </w:pPr>
          </w:p>
        </w:tc>
      </w:tr>
      <w:tr w:rsidR="0028614F" w:rsidRPr="00B42730" w:rsidTr="0028614F">
        <w:tc>
          <w:tcPr>
            <w:tcW w:w="8505" w:type="dxa"/>
          </w:tcPr>
          <w:p w:rsidR="0028614F" w:rsidRPr="009516B3" w:rsidRDefault="0028614F" w:rsidP="008412B8">
            <w:pPr>
              <w:pStyle w:val="Mesure"/>
            </w:pPr>
            <w:r w:rsidRPr="009516B3">
              <w:rPr>
                <w:lang w:eastAsia="nl-BE"/>
              </w:rPr>
              <w:t>La tuyauterie de drainage aboutit suffisamment loin du réservoir</w:t>
            </w:r>
          </w:p>
        </w:tc>
        <w:tc>
          <w:tcPr>
            <w:tcW w:w="4925" w:type="dxa"/>
          </w:tcPr>
          <w:p w:rsidR="0028614F" w:rsidRPr="0028614F" w:rsidRDefault="0028614F" w:rsidP="0028614F">
            <w:pPr>
              <w:rPr>
                <w:lang w:val="fr-FR" w:eastAsia="nl-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La sortie de la tuyauterie de drainage aboutit suffisamment loin sous le réservoir, de sorte qu’en cas de feu à la sortie, les flammes sont dirigées loin du réservoir.</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La sortie de la tuyauterie de drainage est aussi solidement ancrée de sorte d’empêcher  le déplacement ou le pli de la tuyauterie en cas de libération de gaz. [15] [17]</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Mesure"/>
              <w:rPr>
                <w:szCs w:val="20"/>
              </w:rPr>
            </w:pPr>
            <w:r w:rsidRPr="009516B3">
              <w:t>Elimination périodique de la végétation combustible autour du réservoir</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 xml:space="preserve">Il n’est pas fait usage de moyens introduisant un risque de feu, tels que </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insprong2bolleke"/>
            </w:pPr>
            <w:r w:rsidRPr="009516B3">
              <w:t>des désherbants oxydants (tels que le chlorate de sodium)</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insprong2bolleke"/>
            </w:pPr>
            <w:r w:rsidRPr="009516B3">
              <w:t>des brûleurs.</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Lors de l’utilisation de tondeuses à gazon ou de débroussailleuses, une détection de gaz est réalisée afin d’assurer qu’il n’y a pas d’atmosphère explosive.</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Mesure"/>
              <w:rPr>
                <w:szCs w:val="20"/>
              </w:rPr>
            </w:pPr>
            <w:r w:rsidRPr="009516B3">
              <w:t>Pas de connexion sensible au feu sous le niveau de liquide du réservoir</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fr-FR"/>
              </w:rPr>
            </w:pPr>
            <w:r w:rsidRPr="009516B3">
              <w:t>Par exemple un manomètre.</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Mesure"/>
              <w:rPr>
                <w:szCs w:val="20"/>
              </w:rPr>
            </w:pPr>
            <w:r w:rsidRPr="009516B3">
              <w:t>Système fixe d’arrosage d’eau autour des réservoirs</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On entend par système fixe d’arrosage d’eau:</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insprong1"/>
            </w:pPr>
            <w:r w:rsidRPr="009516B3">
              <w:t>les systèmes de déluge</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insprong1"/>
            </w:pPr>
            <w:r w:rsidRPr="009516B3">
              <w:t>les lances incendie.</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lastRenderedPageBreak/>
              <w:t>API2510 ne permet pas l’usage de boyaux à incendie ou de lances incendie portables comme unique manière de protéger des réservoirs de LPG contre l’incendie.</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
              <w:ind w:left="0"/>
              <w:rPr>
                <w:lang w:val="nl-BE"/>
              </w:rPr>
            </w:pPr>
            <w:r w:rsidRPr="009516B3">
              <w:rPr>
                <w:lang w:val="nl-BE"/>
              </w:rPr>
              <w:t>Lances incendie:</w:t>
            </w:r>
          </w:p>
        </w:tc>
        <w:tc>
          <w:tcPr>
            <w:tcW w:w="4925" w:type="dxa"/>
          </w:tcPr>
          <w:p w:rsidR="0028614F" w:rsidRPr="009516B3" w:rsidRDefault="0028614F" w:rsidP="0028614F">
            <w:pPr>
              <w:rPr>
                <w:lang w:val="nl-BE"/>
              </w:rPr>
            </w:pPr>
          </w:p>
        </w:tc>
      </w:tr>
      <w:tr w:rsidR="0028614F" w:rsidRPr="00B42730" w:rsidTr="0028614F">
        <w:tc>
          <w:tcPr>
            <w:tcW w:w="8505" w:type="dxa"/>
          </w:tcPr>
          <w:p w:rsidR="0028614F" w:rsidRPr="009516B3" w:rsidRDefault="0028614F" w:rsidP="008412B8">
            <w:pPr>
              <w:pStyle w:val="toelichtingvraaginsprong1"/>
            </w:pPr>
            <w:r w:rsidRPr="009516B3">
              <w:t>Liées en permanence au réseau d’eau incendie.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La surface totale peut être atteinte.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Accessibles et manipulables en sécurité en cas d’incendie ou à activer et à diriger à distance.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Les buses sont adaptables de manière à pouvoir former aussi bien un jet d’eau que des gouttes d’eau.</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Débit de dosage: selon un code de bonne pratique; l’API2510 donne 20 l/min/m²  comme valeur minimale.</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nl-BE"/>
              </w:rPr>
            </w:pPr>
            <w:r w:rsidRPr="009516B3">
              <w:rPr>
                <w:lang w:val="nl-BE"/>
              </w:rPr>
              <w:t>Systèmes déluge</w:t>
            </w:r>
          </w:p>
        </w:tc>
        <w:tc>
          <w:tcPr>
            <w:tcW w:w="4925" w:type="dxa"/>
          </w:tcPr>
          <w:p w:rsidR="0028614F" w:rsidRPr="009516B3" w:rsidRDefault="0028614F" w:rsidP="0028614F">
            <w:pPr>
              <w:rPr>
                <w:lang w:val="nl-BE"/>
              </w:rPr>
            </w:pPr>
          </w:p>
        </w:tc>
      </w:tr>
      <w:tr w:rsidR="0028614F" w:rsidRPr="00B42730" w:rsidTr="0028614F">
        <w:tc>
          <w:tcPr>
            <w:tcW w:w="8505" w:type="dxa"/>
          </w:tcPr>
          <w:p w:rsidR="0028614F" w:rsidRPr="009516B3" w:rsidRDefault="0028614F" w:rsidP="008412B8">
            <w:pPr>
              <w:pStyle w:val="toelichtingvraaginsprong1"/>
            </w:pPr>
            <w:r w:rsidRPr="009516B3">
              <w:t>Le système peut être activé à partir d’un endroit sûr.</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 xml:space="preserve">Débit de dosage: selon un code de bonne pratique ; l’API2510 donne 4 l/min/m²  </w:t>
            </w:r>
            <w:r w:rsidRPr="009516B3">
              <w:rPr>
                <w:rFonts w:cs="TTE1404D78t00"/>
              </w:rPr>
              <w:t xml:space="preserve">(0,1 gallon par minute par pied au carré) </w:t>
            </w:r>
            <w:r w:rsidRPr="009516B3">
              <w:t xml:space="preserve">comme valeur minimale, à augmenter jusque 10 l/min/m² </w:t>
            </w:r>
            <w:r w:rsidRPr="009516B3">
              <w:rPr>
                <w:rFonts w:cs="TTE1404D78t00"/>
              </w:rPr>
              <w:t xml:space="preserve">(0.25 gpm/ft²) </w:t>
            </w:r>
            <w:r w:rsidRPr="009516B3">
              <w:t>si le réservoir peut être encerclé de flammes.</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Alimentation en eau d’extinction</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t>La capacité en eau d’extinction est déterminée sur base du scénario le plus grave (par ex. refroidissement du plus grand réservoir + des réservoirs voisins + capacité de réserve).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Les réserves d'eau sont assurées par:</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insprong2"/>
            </w:pPr>
            <w:r w:rsidRPr="009516B3">
              <w:t>réserve naturelle (canal, fleuve, …)</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insprong2"/>
            </w:pPr>
            <w:r w:rsidRPr="009516B3">
              <w:lastRenderedPageBreak/>
              <w:t xml:space="preserve">réservoir d'eau suffisamment grand et/ou contrôle régulier des réserves d'eau </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L’alimentation en eau d’extinction est aussi assurée en cas de coupure de courant (p.e. des moteurs à combustion ou un groupe électrogène pour les pompes électriques).</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 xml:space="preserve">Le réseau d'eau d'extinction est réalisé en boucle et pourvu de vannes de sectionnement. </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Le réseau d'eau d'extinction est protégé contre le gel:</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enfouissement à une profondeur suffisante</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insprong2"/>
            </w:pPr>
            <w:r w:rsidRPr="009516B3">
              <w:t>avec chauffage</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insprong2"/>
            </w:pPr>
            <w:r w:rsidRPr="009516B3">
              <w:t>système sec.</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insprong1"/>
            </w:pPr>
            <w:r w:rsidRPr="009516B3">
              <w:t>Le réseau d'eau d'extinction est protégé contre la corrosion:</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matériau résistant à la corrosion</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protection cathodique pour les tuyauteries enterrées</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insprong2"/>
            </w:pPr>
            <w:r w:rsidRPr="009516B3">
              <w:t>couche de protection.</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Inspection et entretien</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insprong1"/>
              <w:numPr>
                <w:ilvl w:val="1"/>
                <w:numId w:val="23"/>
              </w:numPr>
              <w:rPr>
                <w:rFonts w:cs="TTE1404D78t00"/>
              </w:rPr>
            </w:pPr>
            <w:r w:rsidRPr="009516B3">
              <w:t xml:space="preserve">Le système fixe d'extinction est repris dans un programme d'inspection ou d'entretien. </w:t>
            </w:r>
            <w:r w:rsidRPr="009516B3">
              <w:rPr>
                <w:rFonts w:cs="TTE1404D78t00"/>
              </w:rPr>
              <w:t>Cela comprend au moins:</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insprong2"/>
            </w:pPr>
            <w:r w:rsidRPr="009516B3">
              <w:t xml:space="preserve">Des tests live des systèmes de déluge et des lances (fréquence guide: annuels) </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Inspection visuelle du bon état des tuyauteries incendie</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t>Des tests de fonctionnement des pompes d’eau d’extinction (fréquence guide: mensuels)</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2"/>
            </w:pPr>
            <w:r w:rsidRPr="009516B3">
              <w:lastRenderedPageBreak/>
              <w:t>Inspection du réservoir et du réseau d’eau d’extinction.</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Mesure"/>
            </w:pPr>
            <w:r w:rsidRPr="009516B3">
              <w:t>Les appuis sont suffisamment résistants au feu</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L’API 2510 donne 1,5 heure comme valeur indicative pour la résistance au feu.</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Le béton présente une excellente résistance au feu.</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b/>
                <w:strike/>
                <w:lang w:val="fr-BE"/>
              </w:rPr>
            </w:pPr>
            <w:r w:rsidRPr="009516B3">
              <w:rPr>
                <w:lang w:val="fr-BE"/>
              </w:rPr>
              <w:t>Si les appuis ont une résistance insuffisante contre le feu, ils sont équipés d’un refroidissement à l’eau ou d’une isolation résistante au feu.</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Maatregel"/>
              <w:numPr>
                <w:ilvl w:val="0"/>
                <w:numId w:val="2"/>
              </w:numPr>
              <w:tabs>
                <w:tab w:val="clear" w:pos="3686"/>
                <w:tab w:val="num" w:pos="567"/>
              </w:tabs>
              <w:ind w:left="567"/>
              <w:rPr>
                <w:lang w:val="fr-BE"/>
              </w:rPr>
            </w:pPr>
            <w:r w:rsidRPr="009516B3">
              <w:rPr>
                <w:lang w:val="fr-BE"/>
              </w:rPr>
              <w:t>Couches de protection résistantes au feu</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 xml:space="preserve">Des couches de protection résistantes au feu sont une forme de protection passive contre le feu qui est placée sur une surface afin de ralentir l’échauffement en cas d’exposition à un incendie. Il s’agit d’une forme de protection temporaire qui permet de limiter les dommages dans la phase de démarrage d’un incendie dans l’attente que l’incendie soit combattu, par exemple en fermant l’alimentation en combustible ou par la lutte active de l’incendie. </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Des couches résistantes au feu peuvent être réalisées de différentes manières, telles que: des couches de ciment, des panneaux, des coatings (qui en cas d’exposition à la chaleur, gonflent ou subissent certaines réactions au cours desquelles la chaleur est absorbée), une isolation thermique (pour laquelle les matérieux d’isolation et le revêtement doivent être résistants aux températures pouvant survenir en cas d’incendie).</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 xml:space="preserve">Les systèmes d’aspersion d’eau qui sont activés suffisamment rapidement après la naissance d’un feu, peuvent être une alternative pour des couches de protection résistantes au feu. </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
              <w:ind w:left="0"/>
            </w:pPr>
            <w:r w:rsidRPr="009516B3">
              <w:t>Inspection</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insprong1"/>
              <w:numPr>
                <w:ilvl w:val="1"/>
                <w:numId w:val="23"/>
              </w:numPr>
            </w:pPr>
            <w:r w:rsidRPr="009516B3">
              <w:t>Le bon état des couches résistantes au feu est vérifié périodiquement.</w:t>
            </w:r>
          </w:p>
        </w:tc>
        <w:tc>
          <w:tcPr>
            <w:tcW w:w="4925" w:type="dxa"/>
          </w:tcPr>
          <w:p w:rsidR="0028614F" w:rsidRPr="0028614F"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numPr>
                <w:ilvl w:val="1"/>
                <w:numId w:val="23"/>
              </w:numPr>
            </w:pPr>
            <w:r w:rsidRPr="009516B3">
              <w:t>Les risques de corrosion sous les couches de protection résistantes au feu sont identifiés et en fonction de ceux-ci, des inspections sont réalisées.</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Mesure"/>
            </w:pPr>
            <w:r w:rsidRPr="009516B3">
              <w:t>Soupape(s) de sécurité</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
              <w:ind w:left="0"/>
              <w:rPr>
                <w:lang w:val="fr-BE"/>
              </w:rPr>
            </w:pPr>
            <w:r w:rsidRPr="009516B3">
              <w:rPr>
                <w:lang w:val="fr-BE"/>
              </w:rPr>
              <w:t>Dimensionnement</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lastRenderedPageBreak/>
              <w:t xml:space="preserve">La soupape de sécurité (ou un ensemble de plusieurs soupapes de sécurité) a été dimensionnée pour le scénario de ‘feu externe’. </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insprong1"/>
            </w:pPr>
            <w:r w:rsidRPr="009516B3">
              <w:t>Les calculs donnent:</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insprong2"/>
            </w:pPr>
            <w:r w:rsidRPr="009516B3">
              <w:t>la capacité exigée</w:t>
            </w:r>
          </w:p>
        </w:tc>
        <w:tc>
          <w:tcPr>
            <w:tcW w:w="4925" w:type="dxa"/>
          </w:tcPr>
          <w:p w:rsidR="0028614F" w:rsidRPr="009516B3" w:rsidRDefault="0028614F" w:rsidP="0028614F"/>
        </w:tc>
      </w:tr>
      <w:tr w:rsidR="0028614F" w:rsidRPr="00B42730" w:rsidTr="0028614F">
        <w:tc>
          <w:tcPr>
            <w:tcW w:w="8505" w:type="dxa"/>
          </w:tcPr>
          <w:p w:rsidR="0028614F" w:rsidRPr="009516B3" w:rsidRDefault="0028614F" w:rsidP="008412B8">
            <w:pPr>
              <w:pStyle w:val="toelichtingvraaginsprong2"/>
            </w:pPr>
            <w:r w:rsidRPr="009516B3">
              <w:t>la capacité réelle de la soupape de sécurité installée.</w:t>
            </w:r>
          </w:p>
        </w:tc>
        <w:tc>
          <w:tcPr>
            <w:tcW w:w="4925" w:type="dxa"/>
          </w:tcPr>
          <w:p w:rsidR="0028614F" w:rsidRPr="00B42730"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en-US"/>
              </w:rPr>
            </w:pPr>
            <w:r w:rsidRPr="009516B3">
              <w:rPr>
                <w:lang w:val="en-US"/>
              </w:rPr>
              <w:t>Inspection</w:t>
            </w:r>
          </w:p>
        </w:tc>
        <w:tc>
          <w:tcPr>
            <w:tcW w:w="4925" w:type="dxa"/>
          </w:tcPr>
          <w:p w:rsidR="0028614F" w:rsidRPr="009516B3" w:rsidRDefault="0028614F" w:rsidP="0028614F">
            <w:pPr>
              <w:rPr>
                <w:lang w:val="en-US"/>
              </w:rPr>
            </w:pPr>
          </w:p>
        </w:tc>
      </w:tr>
      <w:tr w:rsidR="0028614F" w:rsidRPr="00B42730" w:rsidTr="0028614F">
        <w:tc>
          <w:tcPr>
            <w:tcW w:w="8505" w:type="dxa"/>
          </w:tcPr>
          <w:p w:rsidR="0028614F" w:rsidRPr="009516B3" w:rsidRDefault="0028614F" w:rsidP="008412B8">
            <w:pPr>
              <w:pStyle w:val="toelichtingvraaginsprong1"/>
              <w:numPr>
                <w:ilvl w:val="0"/>
                <w:numId w:val="19"/>
              </w:numPr>
              <w:rPr>
                <w:b/>
                <w:bCs/>
              </w:rPr>
            </w:pPr>
            <w:r w:rsidRPr="009516B3">
              <w:t xml:space="preserve">Les soupapes de sécurité sont reprises dans un programme d'inspection périodique. </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numPr>
                <w:ilvl w:val="0"/>
                <w:numId w:val="19"/>
              </w:numPr>
              <w:rPr>
                <w:b/>
                <w:bCs/>
              </w:rPr>
            </w:pPr>
            <w:r w:rsidRPr="009516B3">
              <w:t>L’AR’68 demande un démontage et retarage des soupapes de sécurité tous les 10 ans.</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Accumulation d'eau dans la ligne d'évent</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t>L’accumulation d'eau dans la ligne d'évent peut corroder la soupape. La glace peut empêcher le bon fonctionnement de la soupape de sécurité. Mesures possibles: une protection contre la pluie, un trou de drainage (pas pointé vers le réservoir).</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28614F" w:rsidRDefault="0028614F" w:rsidP="008412B8">
            <w:pPr>
              <w:pStyle w:val="Toelichtingvraag"/>
              <w:ind w:left="0"/>
              <w:rPr>
                <w:lang w:val="fr-FR"/>
              </w:rPr>
            </w:pPr>
            <w:r w:rsidRPr="0028614F">
              <w:rPr>
                <w:lang w:val="fr-FR"/>
              </w:rPr>
              <w:t>Attaque des soupapes de sécurité</w:t>
            </w:r>
          </w:p>
        </w:tc>
        <w:tc>
          <w:tcPr>
            <w:tcW w:w="4925" w:type="dxa"/>
          </w:tcPr>
          <w:p w:rsidR="0028614F" w:rsidRPr="0028614F" w:rsidRDefault="0028614F" w:rsidP="0028614F">
            <w:pPr>
              <w:rPr>
                <w:lang w:val="fr-FR"/>
              </w:rPr>
            </w:pPr>
          </w:p>
        </w:tc>
      </w:tr>
      <w:tr w:rsidR="0028614F" w:rsidRPr="009516B3" w:rsidTr="0028614F">
        <w:tc>
          <w:tcPr>
            <w:tcW w:w="8505" w:type="dxa"/>
          </w:tcPr>
          <w:p w:rsidR="0028614F" w:rsidRPr="009516B3" w:rsidRDefault="0028614F" w:rsidP="008412B8">
            <w:pPr>
              <w:pStyle w:val="toelichtingvraaginsprong1"/>
            </w:pPr>
            <w:r w:rsidRPr="009516B3">
              <w:t>L'attaque par des produits corrosifs peut être prévenue par le placement d'un disque de rupture (avec mesure de la pression entre le disque de rupture et la soupape). C'est en tout cas d'application avec les amines.</w:t>
            </w:r>
          </w:p>
        </w:tc>
        <w:tc>
          <w:tcPr>
            <w:tcW w:w="4925" w:type="dxa"/>
          </w:tcPr>
          <w:p w:rsidR="0028614F" w:rsidRPr="009516B3" w:rsidRDefault="0028614F" w:rsidP="0028614F"/>
        </w:tc>
      </w:tr>
      <w:tr w:rsidR="0028614F" w:rsidRPr="009516B3" w:rsidTr="0028614F">
        <w:tc>
          <w:tcPr>
            <w:tcW w:w="8505" w:type="dxa"/>
          </w:tcPr>
          <w:p w:rsidR="0028614F" w:rsidRPr="009516B3" w:rsidRDefault="0028614F" w:rsidP="008412B8">
            <w:pPr>
              <w:pStyle w:val="Toelichtingvraag"/>
              <w:ind w:left="0"/>
              <w:rPr>
                <w:iCs/>
                <w:lang w:val="en-US"/>
              </w:rPr>
            </w:pPr>
            <w:r w:rsidRPr="009516B3">
              <w:rPr>
                <w:iCs/>
                <w:lang w:val="en-US"/>
              </w:rPr>
              <w:t>Bouchage</w:t>
            </w:r>
          </w:p>
        </w:tc>
        <w:tc>
          <w:tcPr>
            <w:tcW w:w="4925" w:type="dxa"/>
          </w:tcPr>
          <w:p w:rsidR="0028614F" w:rsidRPr="009516B3" w:rsidRDefault="0028614F" w:rsidP="0028614F">
            <w:pPr>
              <w:rPr>
                <w:iCs/>
                <w:lang w:val="en-US"/>
              </w:rPr>
            </w:pPr>
          </w:p>
        </w:tc>
      </w:tr>
      <w:tr w:rsidR="0028614F" w:rsidRPr="00B42730" w:rsidTr="0028614F">
        <w:tc>
          <w:tcPr>
            <w:tcW w:w="8505" w:type="dxa"/>
          </w:tcPr>
          <w:p w:rsidR="0028614F" w:rsidRPr="009516B3" w:rsidRDefault="0028614F" w:rsidP="008412B8">
            <w:pPr>
              <w:pStyle w:val="toelichtingvraaginsprong1"/>
            </w:pPr>
            <w:r w:rsidRPr="009516B3">
              <w:t>Des soupapes de sécurité peuvent être bloquées sur leur siège à cause de produits collants ou polymérisants. De tels produits peuvent également boucher la conduite de décharge. Le placement d'un disque de rupture entre la soupape de sécurité et l'espace à protéger est une solution pour ce problème.</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lastRenderedPageBreak/>
              <w:t>Montée en pression entre le disque de rupture et la soupape de sécurité</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pPr>
            <w:r w:rsidRPr="009516B3">
              <w:t>Une contre-pression peut se développer entre le disque de rupture et la soupape de sécurité suite à de petites fuites dans le disque de rupture. Une mesure de la pression avec une alarme entre le disque de rupture et la soupape de sécurité est une solution à ce problème. La mesure de la pression et l’alarme sont reprises dans un programme d'inspection.</w:t>
            </w:r>
          </w:p>
        </w:tc>
        <w:tc>
          <w:tcPr>
            <w:tcW w:w="4925" w:type="dxa"/>
          </w:tcPr>
          <w:p w:rsidR="0028614F" w:rsidRPr="00B42730"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ind w:left="0"/>
              <w:rPr>
                <w:lang w:val="en-US"/>
              </w:rPr>
            </w:pPr>
            <w:r w:rsidRPr="009516B3">
              <w:rPr>
                <w:lang w:val="en-US"/>
              </w:rPr>
              <w:t>Localisation de la décharge</w:t>
            </w:r>
          </w:p>
        </w:tc>
        <w:tc>
          <w:tcPr>
            <w:tcW w:w="4925" w:type="dxa"/>
          </w:tcPr>
          <w:p w:rsidR="0028614F" w:rsidRPr="009516B3" w:rsidRDefault="0028614F" w:rsidP="0028614F">
            <w:pPr>
              <w:rPr>
                <w:lang w:val="en-US"/>
              </w:rPr>
            </w:pPr>
          </w:p>
        </w:tc>
      </w:tr>
      <w:tr w:rsidR="0028614F" w:rsidRPr="00B42730" w:rsidTr="0028614F">
        <w:tc>
          <w:tcPr>
            <w:tcW w:w="8505" w:type="dxa"/>
          </w:tcPr>
          <w:p w:rsidR="0028614F" w:rsidRPr="009516B3" w:rsidRDefault="0028614F" w:rsidP="008412B8">
            <w:pPr>
              <w:pStyle w:val="toelichtingvraaginsprong1"/>
            </w:pPr>
            <w:r w:rsidRPr="009516B3">
              <w:t>La décharge de pression ne se fait pas dans la direction de tuyauteries ou de réservoirs.</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toelichtingvraaginsprong1"/>
            </w:pPr>
            <w:r w:rsidRPr="009516B3">
              <w:t xml:space="preserve">Lors de la décharge vers l’environnement, les risques de formation et d’inflammation d’un nuage de gaz exlosif sont évalués. </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iCs/>
                <w:lang w:val="fr-BE"/>
              </w:rPr>
            </w:pPr>
            <w:r w:rsidRPr="009516B3">
              <w:rPr>
                <w:iCs/>
                <w:lang w:val="fr-BE"/>
              </w:rPr>
              <w:t>Forces de réaction dans le flux déchargé</w:t>
            </w:r>
          </w:p>
        </w:tc>
        <w:tc>
          <w:tcPr>
            <w:tcW w:w="4925" w:type="dxa"/>
          </w:tcPr>
          <w:p w:rsidR="0028614F" w:rsidRPr="009516B3" w:rsidRDefault="0028614F" w:rsidP="0028614F">
            <w:pPr>
              <w:rPr>
                <w:iCs/>
                <w:lang w:val="fr-BE"/>
              </w:rPr>
            </w:pPr>
          </w:p>
        </w:tc>
      </w:tr>
      <w:tr w:rsidR="0028614F" w:rsidRPr="00B42730" w:rsidTr="0028614F">
        <w:tc>
          <w:tcPr>
            <w:tcW w:w="8505" w:type="dxa"/>
          </w:tcPr>
          <w:p w:rsidR="0028614F" w:rsidRPr="009516B3" w:rsidRDefault="0028614F" w:rsidP="008412B8">
            <w:pPr>
              <w:pStyle w:val="toelichtingvraaginsprong1"/>
            </w:pPr>
            <w:r w:rsidRPr="009516B3">
              <w:t>Les lignes d'évent sont conçues de manière à ne pas fléchir lors de la décharge.</w:t>
            </w:r>
          </w:p>
        </w:tc>
        <w:tc>
          <w:tcPr>
            <w:tcW w:w="4925" w:type="dxa"/>
          </w:tcPr>
          <w:p w:rsidR="0028614F" w:rsidRPr="00B42730" w:rsidRDefault="0028614F" w:rsidP="0028614F">
            <w:pPr>
              <w:rPr>
                <w:lang w:val="fr-FR"/>
              </w:rPr>
            </w:pPr>
          </w:p>
        </w:tc>
      </w:tr>
      <w:tr w:rsidR="0028614F" w:rsidRPr="009516B3" w:rsidTr="0028614F">
        <w:tc>
          <w:tcPr>
            <w:tcW w:w="8505" w:type="dxa"/>
          </w:tcPr>
          <w:p w:rsidR="0028614F" w:rsidRPr="009516B3" w:rsidRDefault="0028614F" w:rsidP="008412B8">
            <w:pPr>
              <w:pStyle w:val="Toelichtingvraag"/>
              <w:keepNext/>
              <w:keepLines/>
              <w:ind w:left="0"/>
              <w:rPr>
                <w:lang w:val="fr-BE"/>
              </w:rPr>
            </w:pPr>
            <w:r w:rsidRPr="009516B3">
              <w:rPr>
                <w:lang w:val="fr-BE"/>
              </w:rPr>
              <w:t>Disponibilité</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insprong1"/>
              <w:rPr>
                <w:rFonts w:cs="TTE1404D78t00"/>
                <w:iCs/>
              </w:rPr>
            </w:pPr>
            <w:r w:rsidRPr="009516B3">
              <w:t>Des éventuelles vannes manuelles en amont des soupapes de sécurité sont verrouillées de manière à ce que les soupapes de sécurité nécessaires soient toujours en contact avec le réservoir.</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Kop3"/>
            </w:pPr>
            <w:r w:rsidRPr="009516B3">
              <w:t>Défaillance des joints lors d’un incendie externe</w:t>
            </w:r>
          </w:p>
        </w:tc>
        <w:tc>
          <w:tcPr>
            <w:tcW w:w="4925" w:type="dxa"/>
          </w:tcPr>
          <w:p w:rsidR="0028614F" w:rsidRPr="00360307" w:rsidRDefault="0028614F" w:rsidP="0028614F">
            <w:pPr>
              <w:rPr>
                <w:lang w:val="fr-FR"/>
              </w:rPr>
            </w:pPr>
          </w:p>
        </w:tc>
      </w:tr>
      <w:tr w:rsidR="0028614F" w:rsidRPr="00B42730" w:rsidTr="0028614F">
        <w:tc>
          <w:tcPr>
            <w:tcW w:w="8505" w:type="dxa"/>
          </w:tcPr>
          <w:p w:rsidR="0028614F" w:rsidRPr="009516B3" w:rsidRDefault="0028614F" w:rsidP="008412B8">
            <w:pPr>
              <w:pStyle w:val="Mesure"/>
            </w:pPr>
            <w:r w:rsidRPr="009516B3">
              <w:t xml:space="preserve">Joint à bride résistant au feu </w:t>
            </w:r>
          </w:p>
        </w:tc>
        <w:tc>
          <w:tcPr>
            <w:tcW w:w="4925" w:type="dxa"/>
          </w:tcPr>
          <w:p w:rsidR="0028614F" w:rsidRPr="00B42730" w:rsidRDefault="0028614F" w:rsidP="0028614F">
            <w:pPr>
              <w:rPr>
                <w:lang w:val="fr-FR"/>
              </w:rPr>
            </w:pPr>
          </w:p>
        </w:tc>
      </w:tr>
      <w:tr w:rsidR="0028614F" w:rsidRPr="00B42730" w:rsidTr="0028614F">
        <w:tc>
          <w:tcPr>
            <w:tcW w:w="8505" w:type="dxa"/>
          </w:tcPr>
          <w:p w:rsidR="0028614F" w:rsidRPr="009516B3" w:rsidRDefault="0028614F" w:rsidP="008412B8">
            <w:pPr>
              <w:pStyle w:val="Toelichtingvraag"/>
              <w:ind w:left="0"/>
              <w:rPr>
                <w:iCs/>
                <w:lang w:val="fr-BE"/>
              </w:rPr>
            </w:pPr>
            <w:r w:rsidRPr="009516B3">
              <w:rPr>
                <w:lang w:val="fr-BE"/>
              </w:rPr>
              <w:t>Pour monter des vannes sur une tuyauterie, on utilise le plus souvent des liaisons par brides. Le montage résistant au feu de la vanne est alors garanti en plaçant un joint résistant au feu entre les brides de la vanne et de la tuyauterie</w:t>
            </w:r>
            <w:r w:rsidRPr="009516B3">
              <w:rPr>
                <w:iCs/>
                <w:lang w:val="fr-BE"/>
              </w:rPr>
              <w:t>.</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 xml:space="preserve">La seule garantie qu’un joint soit effectivement résistant au feu est un certificat de test. Bien qu’aucune norme spécifique n’existe, un joint peut être testé selon les principes de la méthode d’évaluation des vannes résistantes au feu. En pratique, différents joints sont </w:t>
            </w:r>
            <w:r w:rsidRPr="009516B3">
              <w:rPr>
                <w:lang w:val="fr-BE"/>
              </w:rPr>
              <w:lastRenderedPageBreak/>
              <w:t>disponibles sur le marché ayant un certificat de résistance au feu selon les normes pour les vannes résistantes au feu décrites ci-dessus.</w:t>
            </w:r>
          </w:p>
        </w:tc>
        <w:tc>
          <w:tcPr>
            <w:tcW w:w="4925" w:type="dxa"/>
          </w:tcPr>
          <w:p w:rsidR="0028614F" w:rsidRPr="009516B3" w:rsidRDefault="0028614F" w:rsidP="0028614F">
            <w:pPr>
              <w:rPr>
                <w:lang w:val="fr-BE"/>
              </w:rPr>
            </w:pPr>
          </w:p>
        </w:tc>
      </w:tr>
      <w:tr w:rsidR="0028614F" w:rsidRPr="00B42730" w:rsidTr="0028614F">
        <w:tc>
          <w:tcPr>
            <w:tcW w:w="8505" w:type="dxa"/>
          </w:tcPr>
          <w:p w:rsidR="0028614F" w:rsidRPr="009516B3" w:rsidRDefault="0028614F" w:rsidP="008412B8">
            <w:pPr>
              <w:pStyle w:val="Toelichtingvraag"/>
              <w:ind w:left="0"/>
              <w:rPr>
                <w:lang w:val="fr-BE"/>
              </w:rPr>
            </w:pPr>
            <w:r w:rsidRPr="009516B3">
              <w:rPr>
                <w:lang w:val="fr-BE"/>
              </w:rPr>
              <w:t>Cependant, il existe une manière spécifique pour montrer des vannes où l’on n’utilise pas de liaisons par brides, mais où l’on utilise des tiges filetées le long du côté extérieur des vannes. Ce montage appelé montage “wafer”-montage est illustré ci-dessous.</w:t>
            </w:r>
          </w:p>
        </w:tc>
        <w:tc>
          <w:tcPr>
            <w:tcW w:w="4925" w:type="dxa"/>
          </w:tcPr>
          <w:p w:rsidR="0028614F" w:rsidRPr="009516B3" w:rsidRDefault="0028614F" w:rsidP="0028614F">
            <w:pPr>
              <w:rPr>
                <w:lang w:val="fr-BE"/>
              </w:rPr>
            </w:pPr>
          </w:p>
        </w:tc>
      </w:tr>
      <w:tr w:rsidR="0028614F" w:rsidRPr="009516B3" w:rsidTr="0028614F">
        <w:tc>
          <w:tcPr>
            <w:tcW w:w="8505" w:type="dxa"/>
          </w:tcPr>
          <w:p w:rsidR="0028614F" w:rsidRPr="009516B3" w:rsidRDefault="0028614F" w:rsidP="008412B8">
            <w:pPr>
              <w:pStyle w:val="Toelichtingvraag"/>
              <w:ind w:left="0"/>
              <w:rPr>
                <w:i w:val="0"/>
                <w:lang w:val="fr-BE"/>
              </w:rPr>
            </w:pPr>
            <w:r w:rsidRPr="009516B3">
              <w:rPr>
                <w:i w:val="0"/>
                <w:noProof/>
                <w:lang w:val="nl-BE" w:eastAsia="nl-BE"/>
              </w:rPr>
              <w:drawing>
                <wp:inline distT="0" distB="0" distL="0" distR="0" wp14:anchorId="66D3DF5E" wp14:editId="692D0831">
                  <wp:extent cx="3952875" cy="2105025"/>
                  <wp:effectExtent l="0" t="0" r="0" b="0"/>
                  <wp:docPr id="8" name="Afbeelding 8" descr="Montage des v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ge des vann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2875" cy="2105025"/>
                          </a:xfrm>
                          <a:prstGeom prst="rect">
                            <a:avLst/>
                          </a:prstGeom>
                          <a:noFill/>
                          <a:ln>
                            <a:noFill/>
                          </a:ln>
                        </pic:spPr>
                      </pic:pic>
                    </a:graphicData>
                  </a:graphic>
                </wp:inline>
              </w:drawing>
            </w:r>
          </w:p>
        </w:tc>
        <w:tc>
          <w:tcPr>
            <w:tcW w:w="4925" w:type="dxa"/>
          </w:tcPr>
          <w:p w:rsidR="0028614F" w:rsidRPr="009516B3" w:rsidRDefault="0028614F" w:rsidP="0028614F">
            <w:pPr>
              <w:rPr>
                <w:i/>
                <w:noProof/>
                <w:lang w:val="nl-BE" w:eastAsia="nl-BE"/>
              </w:rPr>
            </w:pPr>
          </w:p>
        </w:tc>
      </w:tr>
      <w:tr w:rsidR="0028614F" w:rsidRPr="00B42730" w:rsidTr="0028614F">
        <w:tc>
          <w:tcPr>
            <w:tcW w:w="8505" w:type="dxa"/>
          </w:tcPr>
          <w:p w:rsidR="0028614F" w:rsidRPr="009516B3" w:rsidRDefault="0028614F" w:rsidP="008412B8">
            <w:pPr>
              <w:pStyle w:val="Toelichtingvraag"/>
              <w:ind w:left="0"/>
              <w:rPr>
                <w:b/>
                <w:lang w:val="fr-BE"/>
              </w:rPr>
            </w:pPr>
            <w:r w:rsidRPr="009516B3">
              <w:rPr>
                <w:lang w:val="fr-BE"/>
              </w:rPr>
              <w:t>On peut mettre en doute le fait que les vis de serrage placées sur toute la longueur de la vanne dans le montage en “wafer” puissent résister longtemps à un incendie. Si on ne peut pas démontrer que les vis de serrage sont suffisamment protégées contre l’incendie (au moins une résistance au feu d’une demi-heure), les vannes montées de cette manière dans les tuyauteries ne sont pas considérées par les services belges d’inspection Seveso, comme suffisamment résistantes au feu.</w:t>
            </w:r>
          </w:p>
        </w:tc>
        <w:tc>
          <w:tcPr>
            <w:tcW w:w="4925" w:type="dxa"/>
          </w:tcPr>
          <w:p w:rsidR="0028614F" w:rsidRPr="009516B3" w:rsidRDefault="0028614F" w:rsidP="0028614F">
            <w:pPr>
              <w:rPr>
                <w:lang w:val="fr-BE"/>
              </w:rPr>
            </w:pPr>
          </w:p>
        </w:tc>
      </w:tr>
    </w:tbl>
    <w:p w:rsidR="006F3BC2" w:rsidRPr="0052522C" w:rsidRDefault="006F3BC2" w:rsidP="000C1ED5">
      <w:pPr>
        <w:rPr>
          <w:lang w:val="fr-BE"/>
        </w:rPr>
      </w:pPr>
    </w:p>
    <w:p w:rsidR="00164841" w:rsidRDefault="00164841">
      <w:pPr>
        <w:jc w:val="left"/>
        <w:rPr>
          <w:lang w:val="fr-BE"/>
        </w:rPr>
      </w:pPr>
      <w:r w:rsidRPr="00C05350">
        <w:rPr>
          <w:lang w:val="fr-BE"/>
        </w:rPr>
        <w:br w:type="page"/>
      </w:r>
    </w:p>
    <w:p w:rsidR="005A6F16" w:rsidRDefault="005A6F16" w:rsidP="005A6F16">
      <w:pPr>
        <w:rPr>
          <w:lang w:val="fr-BE"/>
        </w:rPr>
      </w:pPr>
    </w:p>
    <w:p w:rsidR="00F3791C" w:rsidRPr="0052522C" w:rsidRDefault="00C12538" w:rsidP="00A70AF4">
      <w:pPr>
        <w:pStyle w:val="Kop2"/>
      </w:pPr>
      <w:bookmarkStart w:id="10" w:name="_Toc496177863"/>
      <w:r w:rsidRPr="0052522C">
        <w:t>Intervention</w:t>
      </w:r>
      <w:bookmarkEnd w:id="10"/>
    </w:p>
    <w:tbl>
      <w:tblPr>
        <w:tblStyle w:val="Tabelraster"/>
        <w:tblW w:w="0" w:type="auto"/>
        <w:tblInd w:w="567" w:type="dxa"/>
        <w:tblLook w:val="04A0" w:firstRow="1" w:lastRow="0" w:firstColumn="1" w:lastColumn="0" w:noHBand="0" w:noVBand="1"/>
      </w:tblPr>
      <w:tblGrid>
        <w:gridCol w:w="8500"/>
        <w:gridCol w:w="4925"/>
      </w:tblGrid>
      <w:tr w:rsidR="00BB35D1" w:rsidRPr="00B42730" w:rsidTr="00BB35D1">
        <w:tc>
          <w:tcPr>
            <w:tcW w:w="8500" w:type="dxa"/>
          </w:tcPr>
          <w:p w:rsidR="00BB35D1" w:rsidRPr="00BB35D1" w:rsidRDefault="00BB35D1" w:rsidP="008412B8">
            <w:pPr>
              <w:pStyle w:val="Mesure"/>
            </w:pPr>
            <w:r w:rsidRPr="00BB35D1">
              <w:t>Personnel présent dans le dépôt pendant des activités à risques</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Toelichtingvraag"/>
              <w:ind w:left="0"/>
              <w:rPr>
                <w:lang w:val="fr-BE"/>
              </w:rPr>
            </w:pPr>
            <w:r w:rsidRPr="00BB35D1">
              <w:rPr>
                <w:lang w:val="fr-BE"/>
              </w:rPr>
              <w:t xml:space="preserve">Des activités pour lesquelles il existe un risque d’une libération de gaz inflammables, ne sont pas exécutées par une personne occupée de manière isolée. </w:t>
            </w:r>
          </w:p>
        </w:tc>
        <w:tc>
          <w:tcPr>
            <w:tcW w:w="4925" w:type="dxa"/>
          </w:tcPr>
          <w:p w:rsidR="00BB35D1" w:rsidRPr="00BB35D1" w:rsidRDefault="00BB35D1" w:rsidP="00BB35D1">
            <w:pPr>
              <w:rPr>
                <w:lang w:val="fr-BE"/>
              </w:rPr>
            </w:pPr>
          </w:p>
        </w:tc>
      </w:tr>
      <w:tr w:rsidR="00BB35D1" w:rsidRPr="00B42730" w:rsidTr="00BB35D1">
        <w:tc>
          <w:tcPr>
            <w:tcW w:w="8500" w:type="dxa"/>
          </w:tcPr>
          <w:p w:rsidR="00BB35D1" w:rsidRPr="00BB35D1" w:rsidRDefault="00BB35D1" w:rsidP="008412B8">
            <w:pPr>
              <w:pStyle w:val="Toelichtingvraag"/>
              <w:ind w:left="0"/>
              <w:rPr>
                <w:lang w:val="fr-BE"/>
              </w:rPr>
            </w:pPr>
            <w:r w:rsidRPr="00BB35D1">
              <w:rPr>
                <w:lang w:val="fr-BE"/>
              </w:rPr>
              <w:t>Une deuxième personne présente dans le dépôt et capable d’aider ou d’appeler des renforts est nécessaire.</w:t>
            </w:r>
          </w:p>
        </w:tc>
        <w:tc>
          <w:tcPr>
            <w:tcW w:w="4925" w:type="dxa"/>
          </w:tcPr>
          <w:p w:rsidR="00BB35D1" w:rsidRPr="00BB35D1" w:rsidRDefault="00BB35D1" w:rsidP="00BB35D1">
            <w:pPr>
              <w:rPr>
                <w:lang w:val="fr-BE"/>
              </w:rPr>
            </w:pPr>
          </w:p>
        </w:tc>
      </w:tr>
      <w:tr w:rsidR="00BB35D1" w:rsidRPr="00B42730" w:rsidTr="00BB35D1">
        <w:tc>
          <w:tcPr>
            <w:tcW w:w="8500" w:type="dxa"/>
          </w:tcPr>
          <w:p w:rsidR="00BB35D1" w:rsidRPr="00BB35D1" w:rsidRDefault="00BB35D1" w:rsidP="008412B8">
            <w:pPr>
              <w:pStyle w:val="Toelichtingvraag"/>
              <w:ind w:left="0"/>
              <w:rPr>
                <w:lang w:val="fr-BE"/>
              </w:rPr>
            </w:pPr>
            <w:r w:rsidRPr="00BB35D1">
              <w:rPr>
                <w:lang w:val="fr-BE"/>
              </w:rPr>
              <w:t>Des activités avec un risque de libération de gaz liquéfiés sont entre autres:</w:t>
            </w:r>
          </w:p>
        </w:tc>
        <w:tc>
          <w:tcPr>
            <w:tcW w:w="4925" w:type="dxa"/>
          </w:tcPr>
          <w:p w:rsidR="00BB35D1" w:rsidRPr="00BB35D1" w:rsidRDefault="00BB35D1" w:rsidP="00BB35D1">
            <w:pPr>
              <w:rPr>
                <w:lang w:val="fr-BE"/>
              </w:rPr>
            </w:pPr>
          </w:p>
        </w:tc>
      </w:tr>
      <w:tr w:rsidR="00BB35D1" w:rsidRPr="00B42730" w:rsidTr="00BB35D1">
        <w:tc>
          <w:tcPr>
            <w:tcW w:w="8500" w:type="dxa"/>
          </w:tcPr>
          <w:p w:rsidR="00BB35D1" w:rsidRPr="00BB35D1" w:rsidRDefault="00BB35D1" w:rsidP="008412B8">
            <w:pPr>
              <w:pStyle w:val="toelichtingvraaginsprong1"/>
              <w:numPr>
                <w:ilvl w:val="1"/>
                <w:numId w:val="43"/>
              </w:numPr>
            </w:pPr>
            <w:r w:rsidRPr="00BB35D1">
              <w:t>chargement et déchargement de camions-, de wagons-citernes et de bateaux</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toelichtingvraaginsprong1"/>
              <w:numPr>
                <w:ilvl w:val="1"/>
                <w:numId w:val="43"/>
              </w:numPr>
            </w:pPr>
            <w:r w:rsidRPr="00BB35D1">
              <w:t>drainage de l’eau des réservoirs de stockage</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toelichtingvraaginsprong1"/>
              <w:numPr>
                <w:ilvl w:val="1"/>
                <w:numId w:val="43"/>
              </w:numPr>
            </w:pPr>
            <w:r w:rsidRPr="00BB35D1">
              <w:t>travaux d’entretien au cours desquels des tuyauteries ou des réservoirs avec des gaz liquéfiés doivent être ouverts.</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Mesure"/>
            </w:pPr>
            <w:r w:rsidRPr="00BB35D1">
              <w:t>Accessibilité en cas d’intervention et d’évacuation</w:t>
            </w:r>
          </w:p>
        </w:tc>
        <w:tc>
          <w:tcPr>
            <w:tcW w:w="4925" w:type="dxa"/>
          </w:tcPr>
          <w:p w:rsidR="00BB35D1" w:rsidRPr="00BB35D1" w:rsidRDefault="00BB35D1" w:rsidP="00BB35D1">
            <w:pPr>
              <w:rPr>
                <w:lang w:val="fr-FR"/>
              </w:rPr>
            </w:pPr>
          </w:p>
        </w:tc>
      </w:tr>
      <w:tr w:rsidR="00BB35D1" w:rsidRPr="00BB35D1" w:rsidTr="00BB35D1">
        <w:tc>
          <w:tcPr>
            <w:tcW w:w="8500" w:type="dxa"/>
          </w:tcPr>
          <w:p w:rsidR="00BB35D1" w:rsidRPr="00BB35D1" w:rsidRDefault="00BB35D1" w:rsidP="008412B8">
            <w:pPr>
              <w:pStyle w:val="Toelichtingvraag"/>
              <w:ind w:left="0"/>
              <w:rPr>
                <w:lang w:val="fr-BE"/>
              </w:rPr>
            </w:pPr>
            <w:r w:rsidRPr="00BB35D1">
              <w:rPr>
                <w:lang w:val="en-US"/>
              </w:rPr>
              <w:t>L’accès</w:t>
            </w:r>
          </w:p>
        </w:tc>
        <w:tc>
          <w:tcPr>
            <w:tcW w:w="4925" w:type="dxa"/>
          </w:tcPr>
          <w:p w:rsidR="00BB35D1" w:rsidRPr="00BB35D1" w:rsidRDefault="00BB35D1" w:rsidP="00BB35D1">
            <w:pPr>
              <w:rPr>
                <w:lang w:val="en-US"/>
              </w:rPr>
            </w:pPr>
          </w:p>
        </w:tc>
      </w:tr>
      <w:tr w:rsidR="00BB35D1" w:rsidRPr="00B42730" w:rsidTr="00BB35D1">
        <w:tc>
          <w:tcPr>
            <w:tcW w:w="8500" w:type="dxa"/>
          </w:tcPr>
          <w:p w:rsidR="00BB35D1" w:rsidRPr="00BB35D1" w:rsidRDefault="00BB35D1" w:rsidP="008412B8">
            <w:pPr>
              <w:pStyle w:val="toelichtingvraaginsprong1"/>
            </w:pPr>
            <w:r w:rsidRPr="00BB35D1">
              <w:t>L’accès à l’entreprise, aux réservoirs et aux postes de (dé)chargement est déterminé en concertation avec les services d’incendie. L'accès est suffisamment large pour permettre le passage de véhicules d’intervention (6 m pour une circulation dans les deux sens ou 4 m pour une circulation en sens unique).</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toelichtingvraaginsprong1"/>
            </w:pPr>
            <w:r w:rsidRPr="00BB35D1">
              <w:t>Le site dispose, de préférence, d’au moins deux accès indépendants et éloignés autant que possible l’un de l’autre (afin de garantir l'accès quelle que soit la direction du vent).</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toelichtingvraaginsprong1"/>
            </w:pPr>
            <w:r w:rsidRPr="00BB35D1">
              <w:lastRenderedPageBreak/>
              <w:t>Il y a une hauteur libre d'au moins 4,20 m (par ex. en dessous des piperacks).</w:t>
            </w:r>
          </w:p>
        </w:tc>
        <w:tc>
          <w:tcPr>
            <w:tcW w:w="4925" w:type="dxa"/>
          </w:tcPr>
          <w:p w:rsidR="00BB35D1" w:rsidRPr="00BB35D1" w:rsidRDefault="00BB35D1" w:rsidP="00BB35D1">
            <w:pPr>
              <w:rPr>
                <w:lang w:val="fr-FR"/>
              </w:rPr>
            </w:pPr>
          </w:p>
        </w:tc>
      </w:tr>
      <w:tr w:rsidR="00BB35D1" w:rsidRPr="00B42730" w:rsidTr="00BB35D1">
        <w:tc>
          <w:tcPr>
            <w:tcW w:w="8500" w:type="dxa"/>
          </w:tcPr>
          <w:p w:rsidR="00BB35D1" w:rsidRPr="00BB35D1" w:rsidRDefault="00BB35D1" w:rsidP="008412B8">
            <w:pPr>
              <w:pStyle w:val="toelichtingvraaginsprong1"/>
            </w:pPr>
            <w:r w:rsidRPr="00BB35D1">
              <w:t>Un passage libre d'au moins 1 m selon art. 3 de l’AR’68 est disponible autour du réservoir.</w:t>
            </w:r>
          </w:p>
        </w:tc>
        <w:tc>
          <w:tcPr>
            <w:tcW w:w="4925" w:type="dxa"/>
          </w:tcPr>
          <w:p w:rsidR="00BB35D1" w:rsidRPr="00BB35D1" w:rsidRDefault="00BB35D1" w:rsidP="00BB35D1">
            <w:pPr>
              <w:rPr>
                <w:lang w:val="fr-FR"/>
              </w:rPr>
            </w:pPr>
          </w:p>
        </w:tc>
      </w:tr>
      <w:tr w:rsidR="00BB35D1" w:rsidRPr="00BB35D1" w:rsidTr="00BB35D1">
        <w:tc>
          <w:tcPr>
            <w:tcW w:w="8500" w:type="dxa"/>
          </w:tcPr>
          <w:p w:rsidR="00BB35D1" w:rsidRPr="00BB35D1" w:rsidRDefault="00BB35D1" w:rsidP="008412B8">
            <w:pPr>
              <w:pStyle w:val="Toelichtingvraag"/>
              <w:ind w:left="0"/>
              <w:rPr>
                <w:lang w:val="en-US"/>
              </w:rPr>
            </w:pPr>
            <w:r w:rsidRPr="00BB35D1">
              <w:rPr>
                <w:lang w:val="en-US"/>
              </w:rPr>
              <w:t>Les passages</w:t>
            </w:r>
          </w:p>
        </w:tc>
        <w:tc>
          <w:tcPr>
            <w:tcW w:w="4925" w:type="dxa"/>
          </w:tcPr>
          <w:p w:rsidR="00BB35D1" w:rsidRPr="00BB35D1" w:rsidRDefault="00BB35D1" w:rsidP="00BB35D1">
            <w:pPr>
              <w:rPr>
                <w:lang w:val="en-US"/>
              </w:rPr>
            </w:pPr>
          </w:p>
        </w:tc>
      </w:tr>
      <w:tr w:rsidR="00BB35D1" w:rsidRPr="00BB35D1" w:rsidTr="00BB35D1">
        <w:tc>
          <w:tcPr>
            <w:tcW w:w="8500" w:type="dxa"/>
          </w:tcPr>
          <w:p w:rsidR="00BB35D1" w:rsidRPr="00BB35D1" w:rsidRDefault="00BB35D1" w:rsidP="008412B8">
            <w:pPr>
              <w:pStyle w:val="insprong2bolleke"/>
            </w:pPr>
            <w:r w:rsidRPr="00BB35D1">
              <w:t>Chaque réservoir a de préférence un côté libre qui permet l’accès à partir d'un chemin, donc deux réservoirs maximum par rangée. Exception possible pour des groupes de petits.</w:t>
            </w:r>
          </w:p>
        </w:tc>
        <w:tc>
          <w:tcPr>
            <w:tcW w:w="4925" w:type="dxa"/>
          </w:tcPr>
          <w:p w:rsidR="00BB35D1" w:rsidRPr="00BB35D1" w:rsidRDefault="00BB35D1" w:rsidP="00BB35D1"/>
        </w:tc>
      </w:tr>
      <w:tr w:rsidR="00BB35D1" w:rsidRPr="00B42730" w:rsidTr="00BB35D1">
        <w:tc>
          <w:tcPr>
            <w:tcW w:w="8500" w:type="dxa"/>
          </w:tcPr>
          <w:p w:rsidR="00BB35D1" w:rsidRPr="00BB35D1" w:rsidRDefault="00BB35D1" w:rsidP="008412B8">
            <w:pPr>
              <w:pStyle w:val="Toelichtingvraag"/>
              <w:ind w:left="0"/>
              <w:rPr>
                <w:lang w:val="fr-BE"/>
              </w:rPr>
            </w:pPr>
            <w:r w:rsidRPr="00BB35D1">
              <w:rPr>
                <w:lang w:val="fr-BE"/>
              </w:rPr>
              <w:t>Indication de la direction du vent</w:t>
            </w:r>
          </w:p>
        </w:tc>
        <w:tc>
          <w:tcPr>
            <w:tcW w:w="4925" w:type="dxa"/>
          </w:tcPr>
          <w:p w:rsidR="00BB35D1" w:rsidRPr="00BB35D1" w:rsidRDefault="00BB35D1" w:rsidP="00BB35D1">
            <w:pPr>
              <w:rPr>
                <w:lang w:val="fr-BE"/>
              </w:rPr>
            </w:pPr>
          </w:p>
        </w:tc>
      </w:tr>
      <w:tr w:rsidR="00BB35D1" w:rsidRPr="00B42730" w:rsidTr="00BB35D1">
        <w:tc>
          <w:tcPr>
            <w:tcW w:w="8500" w:type="dxa"/>
          </w:tcPr>
          <w:p w:rsidR="00BB35D1" w:rsidRPr="00BB35D1" w:rsidRDefault="00BB35D1" w:rsidP="008412B8">
            <w:pPr>
              <w:pStyle w:val="toelichtingvraaginsprong1"/>
            </w:pPr>
            <w:r w:rsidRPr="00BB35D1">
              <w:t>Manche à air ou girouette par ex.</w:t>
            </w:r>
          </w:p>
        </w:tc>
        <w:tc>
          <w:tcPr>
            <w:tcW w:w="4925" w:type="dxa"/>
          </w:tcPr>
          <w:p w:rsidR="00BB35D1" w:rsidRPr="00B42730" w:rsidRDefault="00BB35D1" w:rsidP="00BB35D1">
            <w:pPr>
              <w:rPr>
                <w:lang w:val="fr-FR"/>
              </w:rPr>
            </w:pPr>
          </w:p>
        </w:tc>
      </w:tr>
      <w:tr w:rsidR="00BB35D1" w:rsidRPr="00B42730" w:rsidTr="00BB35D1">
        <w:tc>
          <w:tcPr>
            <w:tcW w:w="8500" w:type="dxa"/>
          </w:tcPr>
          <w:p w:rsidR="00BB35D1" w:rsidRPr="00BB35D1" w:rsidRDefault="00BB35D1" w:rsidP="008412B8">
            <w:pPr>
              <w:pStyle w:val="toelichtingvraaginsprong1"/>
            </w:pPr>
            <w:r w:rsidRPr="00BB35D1">
              <w:t>Visible de la station de (dé)chargement et du lieu de stockage.</w:t>
            </w:r>
          </w:p>
        </w:tc>
        <w:tc>
          <w:tcPr>
            <w:tcW w:w="4925" w:type="dxa"/>
          </w:tcPr>
          <w:p w:rsidR="00BB35D1" w:rsidRPr="00B42730" w:rsidRDefault="00BB35D1" w:rsidP="00BB35D1">
            <w:pPr>
              <w:rPr>
                <w:lang w:val="fr-FR"/>
              </w:rPr>
            </w:pPr>
          </w:p>
        </w:tc>
      </w:tr>
    </w:tbl>
    <w:p w:rsidR="009770C9" w:rsidRPr="0052522C" w:rsidRDefault="009770C9">
      <w:pPr>
        <w:rPr>
          <w:lang w:val="fr-BE"/>
        </w:rPr>
      </w:pPr>
    </w:p>
    <w:p w:rsidR="000346D1" w:rsidRPr="0052522C" w:rsidRDefault="000346D1" w:rsidP="00F3791C">
      <w:pPr>
        <w:rPr>
          <w:szCs w:val="20"/>
          <w:lang w:val="fr-BE"/>
        </w:rPr>
        <w:sectPr w:rsidR="000346D1" w:rsidRPr="0052522C" w:rsidSect="000D632D">
          <w:footerReference w:type="even" r:id="rId14"/>
          <w:footerReference w:type="default" r:id="rId15"/>
          <w:type w:val="oddPage"/>
          <w:pgSz w:w="16838" w:h="11906" w:orient="landscape" w:code="9"/>
          <w:pgMar w:top="1418" w:right="1418" w:bottom="1418" w:left="1418" w:header="709" w:footer="709" w:gutter="0"/>
          <w:cols w:space="708"/>
          <w:docGrid w:linePitch="360"/>
        </w:sectPr>
      </w:pPr>
    </w:p>
    <w:p w:rsidR="007B430D" w:rsidRPr="0052522C" w:rsidRDefault="007B430D" w:rsidP="00F3791C">
      <w:pPr>
        <w:rPr>
          <w:szCs w:val="20"/>
          <w:lang w:val="fr-BE"/>
        </w:rPr>
      </w:pPr>
    </w:p>
    <w:p w:rsidR="006C1758" w:rsidRPr="00164841" w:rsidRDefault="00F3791C" w:rsidP="005A6F16">
      <w:pPr>
        <w:pStyle w:val="Kop1"/>
        <w:spacing w:before="600"/>
        <w:ind w:left="5103" w:firstLine="3260"/>
      </w:pPr>
      <w:r w:rsidRPr="0052522C">
        <w:br/>
      </w:r>
      <w:bookmarkStart w:id="11" w:name="_Toc424747670"/>
      <w:bookmarkStart w:id="12" w:name="_Toc496177864"/>
      <w:r w:rsidR="006C1758" w:rsidRPr="00164841">
        <w:t>Postes de (dé)chargement</w:t>
      </w:r>
      <w:bookmarkEnd w:id="11"/>
      <w:r w:rsidR="00B35C91" w:rsidRPr="00164841">
        <w:t xml:space="preserve"> pour camions</w:t>
      </w:r>
      <w:r w:rsidR="00575953" w:rsidRPr="00164841">
        <w:t>-</w:t>
      </w:r>
      <w:r w:rsidR="00B35C91" w:rsidRPr="00164841">
        <w:t xml:space="preserve"> </w:t>
      </w:r>
      <w:r w:rsidR="004C46FC" w:rsidRPr="00164841">
        <w:t>ou</w:t>
      </w:r>
      <w:r w:rsidR="00B35C91" w:rsidRPr="00164841">
        <w:t xml:space="preserve"> wagons</w:t>
      </w:r>
      <w:r w:rsidR="00575953" w:rsidRPr="00164841">
        <w:t>-</w:t>
      </w:r>
      <w:r w:rsidR="00B35C91" w:rsidRPr="00164841">
        <w:t>citernes</w:t>
      </w:r>
      <w:bookmarkEnd w:id="12"/>
    </w:p>
    <w:p w:rsidR="006C1758" w:rsidRPr="0052522C" w:rsidRDefault="00444EFE" w:rsidP="00444EFE">
      <w:pPr>
        <w:pStyle w:val="Kop2"/>
      </w:pPr>
      <w:bookmarkStart w:id="13" w:name="_Toc496177865"/>
      <w:r w:rsidRPr="00444EFE">
        <w:t>Contrôle de l'accès</w:t>
      </w:r>
      <w:bookmarkEnd w:id="13"/>
    </w:p>
    <w:tbl>
      <w:tblPr>
        <w:tblStyle w:val="Tabelraster"/>
        <w:tblW w:w="0" w:type="auto"/>
        <w:tblInd w:w="567" w:type="dxa"/>
        <w:tblLook w:val="04A0" w:firstRow="1" w:lastRow="0" w:firstColumn="1" w:lastColumn="0" w:noHBand="0" w:noVBand="1"/>
      </w:tblPr>
      <w:tblGrid>
        <w:gridCol w:w="8500"/>
        <w:gridCol w:w="4925"/>
      </w:tblGrid>
      <w:tr w:rsidR="009E5C80" w:rsidRPr="00B42730" w:rsidTr="009E5C80">
        <w:tc>
          <w:tcPr>
            <w:tcW w:w="8500" w:type="dxa"/>
          </w:tcPr>
          <w:p w:rsidR="009E5C80" w:rsidRPr="009E5C80" w:rsidRDefault="009E5C80" w:rsidP="008412B8">
            <w:pPr>
              <w:pStyle w:val="Mesure"/>
            </w:pPr>
            <w:r w:rsidRPr="009E5C80">
              <w:t>Contrôle de l'accès pour chauffeurs</w:t>
            </w:r>
          </w:p>
        </w:tc>
        <w:tc>
          <w:tcPr>
            <w:tcW w:w="4925" w:type="dxa"/>
          </w:tcPr>
          <w:p w:rsidR="009E5C80" w:rsidRPr="009E5C80" w:rsidRDefault="009E5C80" w:rsidP="009E5C80">
            <w:pPr>
              <w:rPr>
                <w:lang w:val="fr-FR"/>
              </w:rPr>
            </w:pPr>
          </w:p>
        </w:tc>
      </w:tr>
      <w:tr w:rsidR="009E5C80" w:rsidRPr="00B42730" w:rsidTr="009E5C80">
        <w:tc>
          <w:tcPr>
            <w:tcW w:w="8500" w:type="dxa"/>
          </w:tcPr>
          <w:p w:rsidR="009E5C80" w:rsidRPr="009E5C80" w:rsidRDefault="009E5C80" w:rsidP="008412B8">
            <w:pPr>
              <w:pStyle w:val="Toelichtingvraag"/>
              <w:ind w:left="0"/>
              <w:rPr>
                <w:i w:val="0"/>
                <w:szCs w:val="20"/>
                <w:lang w:val="fr-BE"/>
              </w:rPr>
            </w:pPr>
            <w:r w:rsidRPr="009E5C80">
              <w:rPr>
                <w:lang w:val="fr-BE"/>
              </w:rPr>
              <w:t>Le contrôle d’accès implique, soit que l’on s’annonce toujours physiquement lors de l’entrée sur le terrain de l’entreprise, soit que l’on utilise un badge d’accès personnel.</w:t>
            </w:r>
          </w:p>
        </w:tc>
        <w:tc>
          <w:tcPr>
            <w:tcW w:w="4925" w:type="dxa"/>
          </w:tcPr>
          <w:p w:rsidR="009E5C80" w:rsidRPr="009E5C80" w:rsidRDefault="009E5C80" w:rsidP="009E5C80">
            <w:pPr>
              <w:rPr>
                <w:lang w:val="fr-BE"/>
              </w:rPr>
            </w:pPr>
          </w:p>
        </w:tc>
      </w:tr>
      <w:tr w:rsidR="009E5C80" w:rsidRPr="009E5C80" w:rsidTr="009E5C80">
        <w:tc>
          <w:tcPr>
            <w:tcW w:w="8500" w:type="dxa"/>
          </w:tcPr>
          <w:p w:rsidR="009E5C80" w:rsidRPr="009E5C80" w:rsidRDefault="009E5C80" w:rsidP="008412B8">
            <w:pPr>
              <w:pStyle w:val="Mesure"/>
            </w:pPr>
            <w:r w:rsidRPr="009E5C80">
              <w:t>Formation des chauffeurs</w:t>
            </w:r>
          </w:p>
        </w:tc>
        <w:tc>
          <w:tcPr>
            <w:tcW w:w="4925" w:type="dxa"/>
          </w:tcPr>
          <w:p w:rsidR="009E5C80" w:rsidRPr="009E5C80" w:rsidRDefault="009E5C80" w:rsidP="009E5C80"/>
        </w:tc>
      </w:tr>
      <w:tr w:rsidR="009E5C80" w:rsidRPr="00B42730" w:rsidTr="009E5C80">
        <w:tc>
          <w:tcPr>
            <w:tcW w:w="8500" w:type="dxa"/>
          </w:tcPr>
          <w:p w:rsidR="009E5C80" w:rsidRPr="009E5C80" w:rsidRDefault="009E5C80" w:rsidP="008412B8">
            <w:pPr>
              <w:pStyle w:val="Toelichtingvraag"/>
              <w:ind w:left="0"/>
              <w:rPr>
                <w:lang w:val="fr-BE"/>
              </w:rPr>
            </w:pPr>
            <w:r w:rsidRPr="009E5C80">
              <w:rPr>
                <w:lang w:val="fr-BE"/>
              </w:rPr>
              <w:t>Si le chauffeur est supposé réaliser lui-même le (dé)chargement ou l’assister:</w:t>
            </w:r>
          </w:p>
        </w:tc>
        <w:tc>
          <w:tcPr>
            <w:tcW w:w="4925" w:type="dxa"/>
          </w:tcPr>
          <w:p w:rsidR="009E5C80" w:rsidRPr="009E5C80" w:rsidRDefault="009E5C80" w:rsidP="009E5C80">
            <w:pPr>
              <w:rPr>
                <w:lang w:val="fr-BE"/>
              </w:rPr>
            </w:pPr>
          </w:p>
        </w:tc>
      </w:tr>
      <w:tr w:rsidR="009E5C80" w:rsidRPr="00B42730" w:rsidTr="009E5C80">
        <w:tc>
          <w:tcPr>
            <w:tcW w:w="8500" w:type="dxa"/>
          </w:tcPr>
          <w:p w:rsidR="009E5C80" w:rsidRPr="009E5C80" w:rsidRDefault="009E5C80" w:rsidP="008412B8">
            <w:pPr>
              <w:pStyle w:val="toelichtingvraaginsprong1"/>
              <w:numPr>
                <w:ilvl w:val="1"/>
                <w:numId w:val="23"/>
              </w:numPr>
            </w:pPr>
            <w:r w:rsidRPr="009E5C80">
              <w:t>il reçoit pour ce faire une formation spécifique</w:t>
            </w:r>
          </w:p>
        </w:tc>
        <w:tc>
          <w:tcPr>
            <w:tcW w:w="4925" w:type="dxa"/>
          </w:tcPr>
          <w:p w:rsidR="009E5C80" w:rsidRPr="00B42730" w:rsidRDefault="009E5C80" w:rsidP="009E5C80">
            <w:pPr>
              <w:rPr>
                <w:lang w:val="fr-FR"/>
              </w:rPr>
            </w:pPr>
          </w:p>
        </w:tc>
      </w:tr>
      <w:tr w:rsidR="009E5C80" w:rsidRPr="00B42730" w:rsidTr="009E5C80">
        <w:tc>
          <w:tcPr>
            <w:tcW w:w="8500" w:type="dxa"/>
          </w:tcPr>
          <w:p w:rsidR="009E5C80" w:rsidRPr="009E5C80" w:rsidRDefault="009E5C80" w:rsidP="008412B8">
            <w:pPr>
              <w:pStyle w:val="toelichtingvraaginsprong1"/>
              <w:numPr>
                <w:ilvl w:val="1"/>
                <w:numId w:val="23"/>
              </w:numPr>
            </w:pPr>
            <w:r w:rsidRPr="009E5C80">
              <w:t xml:space="preserve">des instructions de (dé)chargement sont affichées sur place. </w:t>
            </w:r>
          </w:p>
        </w:tc>
        <w:tc>
          <w:tcPr>
            <w:tcW w:w="4925" w:type="dxa"/>
          </w:tcPr>
          <w:p w:rsidR="009E5C80" w:rsidRPr="00B42730" w:rsidRDefault="009E5C80" w:rsidP="009E5C80">
            <w:pPr>
              <w:rPr>
                <w:lang w:val="fr-FR"/>
              </w:rPr>
            </w:pPr>
          </w:p>
        </w:tc>
      </w:tr>
      <w:tr w:rsidR="009E5C80" w:rsidRPr="00B42730" w:rsidTr="009E5C80">
        <w:tc>
          <w:tcPr>
            <w:tcW w:w="8500" w:type="dxa"/>
          </w:tcPr>
          <w:p w:rsidR="009E5C80" w:rsidRPr="009E5C80" w:rsidRDefault="009E5C80" w:rsidP="008412B8">
            <w:pPr>
              <w:pStyle w:val="Toelichtingvraag"/>
              <w:ind w:left="0"/>
              <w:rPr>
                <w:lang w:val="fr-BE"/>
              </w:rPr>
            </w:pPr>
            <w:r w:rsidRPr="009E5C80">
              <w:rPr>
                <w:lang w:val="fr-BE"/>
              </w:rPr>
              <w:t xml:space="preserve">Cette formation contient au moins les informations suivantes: </w:t>
            </w:r>
          </w:p>
        </w:tc>
        <w:tc>
          <w:tcPr>
            <w:tcW w:w="4925" w:type="dxa"/>
          </w:tcPr>
          <w:p w:rsidR="009E5C80" w:rsidRPr="009E5C80" w:rsidRDefault="009E5C80" w:rsidP="009E5C80">
            <w:pPr>
              <w:rPr>
                <w:lang w:val="fr-BE"/>
              </w:rPr>
            </w:pPr>
          </w:p>
        </w:tc>
      </w:tr>
      <w:tr w:rsidR="009E5C80" w:rsidRPr="009E5C80" w:rsidTr="009E5C80">
        <w:tc>
          <w:tcPr>
            <w:tcW w:w="8500" w:type="dxa"/>
          </w:tcPr>
          <w:p w:rsidR="009E5C80" w:rsidRPr="009E5C80" w:rsidRDefault="009E5C80" w:rsidP="008412B8">
            <w:pPr>
              <w:pStyle w:val="toelichtingvraaginsprong1"/>
              <w:numPr>
                <w:ilvl w:val="1"/>
                <w:numId w:val="23"/>
              </w:numPr>
            </w:pPr>
            <w:r w:rsidRPr="009E5C80">
              <w:t>comment manœuvrer l’installation</w:t>
            </w:r>
          </w:p>
        </w:tc>
        <w:tc>
          <w:tcPr>
            <w:tcW w:w="4925" w:type="dxa"/>
          </w:tcPr>
          <w:p w:rsidR="009E5C80" w:rsidRPr="009E5C80" w:rsidRDefault="009E5C80" w:rsidP="009E5C80"/>
        </w:tc>
      </w:tr>
      <w:tr w:rsidR="009E5C80" w:rsidRPr="00B42730" w:rsidTr="009E5C80">
        <w:tc>
          <w:tcPr>
            <w:tcW w:w="8500" w:type="dxa"/>
          </w:tcPr>
          <w:p w:rsidR="009E5C80" w:rsidRPr="009E5C80" w:rsidRDefault="009E5C80" w:rsidP="008412B8">
            <w:pPr>
              <w:pStyle w:val="toelichtingvraaginsprong1"/>
              <w:numPr>
                <w:ilvl w:val="1"/>
                <w:numId w:val="23"/>
              </w:numPr>
            </w:pPr>
            <w:r w:rsidRPr="009E5C80">
              <w:t>que faire en cas de situation d’urgence</w:t>
            </w:r>
          </w:p>
        </w:tc>
        <w:tc>
          <w:tcPr>
            <w:tcW w:w="4925" w:type="dxa"/>
          </w:tcPr>
          <w:p w:rsidR="009E5C80" w:rsidRPr="00B42730" w:rsidRDefault="009E5C80" w:rsidP="009E5C80">
            <w:pPr>
              <w:rPr>
                <w:lang w:val="fr-FR"/>
              </w:rPr>
            </w:pPr>
          </w:p>
        </w:tc>
      </w:tr>
      <w:tr w:rsidR="009E5C80" w:rsidRPr="00B42730" w:rsidTr="009E5C80">
        <w:tc>
          <w:tcPr>
            <w:tcW w:w="8500" w:type="dxa"/>
          </w:tcPr>
          <w:p w:rsidR="009E5C80" w:rsidRPr="009E5C80" w:rsidRDefault="009E5C80" w:rsidP="008412B8">
            <w:pPr>
              <w:pStyle w:val="toelichtingvraaginsprong1"/>
              <w:numPr>
                <w:ilvl w:val="1"/>
                <w:numId w:val="23"/>
              </w:numPr>
            </w:pPr>
            <w:r w:rsidRPr="009E5C80">
              <w:lastRenderedPageBreak/>
              <w:t>les règles générales de sécurité dans l’entreprise.</w:t>
            </w:r>
          </w:p>
        </w:tc>
        <w:tc>
          <w:tcPr>
            <w:tcW w:w="4925" w:type="dxa"/>
          </w:tcPr>
          <w:p w:rsidR="009E5C80" w:rsidRPr="00B42730" w:rsidRDefault="009E5C80" w:rsidP="009E5C80">
            <w:pPr>
              <w:rPr>
                <w:lang w:val="fr-FR"/>
              </w:rPr>
            </w:pPr>
          </w:p>
        </w:tc>
      </w:tr>
      <w:tr w:rsidR="009E5C80" w:rsidRPr="00B42730" w:rsidTr="009E5C80">
        <w:tc>
          <w:tcPr>
            <w:tcW w:w="8500" w:type="dxa"/>
          </w:tcPr>
          <w:p w:rsidR="009E5C80" w:rsidRPr="009E5C80" w:rsidRDefault="009E5C80" w:rsidP="008412B8">
            <w:pPr>
              <w:pStyle w:val="Toelichtingvraag"/>
              <w:ind w:left="0"/>
              <w:rPr>
                <w:lang w:val="fr-BE"/>
              </w:rPr>
            </w:pPr>
            <w:r w:rsidRPr="009E5C80">
              <w:rPr>
                <w:lang w:val="fr-BE"/>
              </w:rPr>
              <w:t>Le contenu de cette formation initiale est déterminé. La formation doit être rappelée à intervalles réguliers (p. ex: lier la périodicité à la validité du permis de conduire ADR, valable 5 ans actuellement).</w:t>
            </w:r>
          </w:p>
        </w:tc>
        <w:tc>
          <w:tcPr>
            <w:tcW w:w="4925" w:type="dxa"/>
          </w:tcPr>
          <w:p w:rsidR="009E5C80" w:rsidRPr="009E5C80" w:rsidRDefault="009E5C80" w:rsidP="009E5C80">
            <w:pPr>
              <w:rPr>
                <w:lang w:val="fr-BE"/>
              </w:rPr>
            </w:pPr>
          </w:p>
        </w:tc>
      </w:tr>
    </w:tbl>
    <w:p w:rsidR="00164841" w:rsidRPr="00444EFE" w:rsidRDefault="00164841" w:rsidP="00164841">
      <w:pPr>
        <w:rPr>
          <w:lang w:val="fr-BE"/>
        </w:rPr>
      </w:pPr>
    </w:p>
    <w:p w:rsidR="00164841" w:rsidRDefault="00164841" w:rsidP="006C19FD">
      <w:pPr>
        <w:rPr>
          <w:lang w:val="fr-BE"/>
        </w:rPr>
      </w:pPr>
    </w:p>
    <w:p w:rsidR="00803E5C" w:rsidRPr="0052522C" w:rsidRDefault="00803E5C" w:rsidP="00803E5C">
      <w:pPr>
        <w:pStyle w:val="Kop2"/>
      </w:pPr>
      <w:bookmarkStart w:id="14" w:name="_Toc424747671"/>
      <w:bookmarkStart w:id="15" w:name="_Toc496177866"/>
      <w:r w:rsidRPr="0052522C">
        <w:t>Signalisation</w:t>
      </w:r>
      <w:bookmarkEnd w:id="14"/>
      <w:bookmarkEnd w:id="15"/>
    </w:p>
    <w:tbl>
      <w:tblPr>
        <w:tblStyle w:val="Tabelraster"/>
        <w:tblW w:w="0" w:type="auto"/>
        <w:tblInd w:w="567" w:type="dxa"/>
        <w:tblLook w:val="04A0" w:firstRow="1" w:lastRow="0" w:firstColumn="1" w:lastColumn="0" w:noHBand="0" w:noVBand="1"/>
      </w:tblPr>
      <w:tblGrid>
        <w:gridCol w:w="8500"/>
        <w:gridCol w:w="4925"/>
      </w:tblGrid>
      <w:tr w:rsidR="004B1B15" w:rsidRPr="00B42730" w:rsidTr="004B1B15">
        <w:tc>
          <w:tcPr>
            <w:tcW w:w="8500" w:type="dxa"/>
          </w:tcPr>
          <w:p w:rsidR="004B1B15" w:rsidRPr="004B1B15" w:rsidRDefault="004B1B15" w:rsidP="008412B8">
            <w:pPr>
              <w:pStyle w:val="Mesure"/>
            </w:pPr>
            <w:r w:rsidRPr="004B1B15">
              <w:t>Signalisation des points de connexion pour camions- ou wagons-citernes</w:t>
            </w:r>
          </w:p>
        </w:tc>
        <w:tc>
          <w:tcPr>
            <w:tcW w:w="4925" w:type="dxa"/>
          </w:tcPr>
          <w:p w:rsidR="004B1B15" w:rsidRPr="004B1B15" w:rsidRDefault="004B1B15" w:rsidP="004B1B15">
            <w:pPr>
              <w:rPr>
                <w:lang w:val="fr-BE"/>
              </w:rPr>
            </w:pPr>
          </w:p>
        </w:tc>
      </w:tr>
      <w:tr w:rsidR="004B1B15" w:rsidRPr="004B1B15" w:rsidTr="004B1B15">
        <w:tc>
          <w:tcPr>
            <w:tcW w:w="8500" w:type="dxa"/>
          </w:tcPr>
          <w:p w:rsidR="004B1B15" w:rsidRPr="004B1B15" w:rsidRDefault="004B1B15" w:rsidP="008412B8">
            <w:pPr>
              <w:pStyle w:val="Toelichtingvraag"/>
              <w:ind w:left="0"/>
            </w:pPr>
            <w:r w:rsidRPr="004B1B15">
              <w:t>Indication:</w:t>
            </w:r>
          </w:p>
        </w:tc>
        <w:tc>
          <w:tcPr>
            <w:tcW w:w="4925" w:type="dxa"/>
          </w:tcPr>
          <w:p w:rsidR="004B1B15" w:rsidRPr="004B1B15" w:rsidRDefault="004B1B15" w:rsidP="004B1B15"/>
        </w:tc>
      </w:tr>
      <w:tr w:rsidR="004B1B15" w:rsidRPr="00B42730" w:rsidTr="004B1B15">
        <w:tc>
          <w:tcPr>
            <w:tcW w:w="8500" w:type="dxa"/>
          </w:tcPr>
          <w:p w:rsidR="004B1B15" w:rsidRPr="004B1B15" w:rsidRDefault="004B1B15" w:rsidP="008412B8">
            <w:pPr>
              <w:pStyle w:val="toelichtingvraaginsprong1"/>
            </w:pPr>
            <w:r w:rsidRPr="004B1B15">
              <w:t>du produit qui est (dé)chargé</w:t>
            </w:r>
          </w:p>
        </w:tc>
        <w:tc>
          <w:tcPr>
            <w:tcW w:w="4925" w:type="dxa"/>
          </w:tcPr>
          <w:p w:rsidR="004B1B15" w:rsidRPr="00B42730" w:rsidRDefault="004B1B15" w:rsidP="004B1B15">
            <w:pPr>
              <w:rPr>
                <w:lang w:val="fr-FR"/>
              </w:rPr>
            </w:pPr>
          </w:p>
        </w:tc>
      </w:tr>
      <w:tr w:rsidR="004B1B15" w:rsidRPr="00B42730" w:rsidTr="004B1B15">
        <w:tc>
          <w:tcPr>
            <w:tcW w:w="8500" w:type="dxa"/>
          </w:tcPr>
          <w:p w:rsidR="004B1B15" w:rsidRPr="004B1B15" w:rsidRDefault="004B1B15" w:rsidP="008412B8">
            <w:pPr>
              <w:pStyle w:val="toelichtingvraaginsprong1"/>
            </w:pPr>
            <w:r w:rsidRPr="004B1B15">
              <w:t>de la position de la vanne (ouverte / fermée)</w:t>
            </w:r>
          </w:p>
        </w:tc>
        <w:tc>
          <w:tcPr>
            <w:tcW w:w="4925" w:type="dxa"/>
          </w:tcPr>
          <w:p w:rsidR="004B1B15" w:rsidRPr="00B42730" w:rsidRDefault="004B1B15" w:rsidP="004B1B15">
            <w:pPr>
              <w:rPr>
                <w:lang w:val="fr-FR"/>
              </w:rPr>
            </w:pPr>
          </w:p>
        </w:tc>
      </w:tr>
      <w:tr w:rsidR="004B1B15" w:rsidRPr="004B1B15" w:rsidTr="004B1B15">
        <w:tc>
          <w:tcPr>
            <w:tcW w:w="8500" w:type="dxa"/>
          </w:tcPr>
          <w:p w:rsidR="004B1B15" w:rsidRPr="004B1B15" w:rsidRDefault="004B1B15" w:rsidP="008412B8">
            <w:pPr>
              <w:pStyle w:val="insprong2bolleke"/>
            </w:pPr>
            <w:r w:rsidRPr="004B1B15">
              <w:t>du sens d’écoulement.</w:t>
            </w:r>
          </w:p>
        </w:tc>
        <w:tc>
          <w:tcPr>
            <w:tcW w:w="4925" w:type="dxa"/>
          </w:tcPr>
          <w:p w:rsidR="004B1B15" w:rsidRPr="004B1B15" w:rsidRDefault="004B1B15" w:rsidP="004B1B15"/>
        </w:tc>
      </w:tr>
    </w:tbl>
    <w:p w:rsidR="002C16B2" w:rsidRPr="0052522C" w:rsidRDefault="002C16B2" w:rsidP="0042507F">
      <w:pPr>
        <w:pStyle w:val="Kop2"/>
        <w:spacing w:before="360"/>
      </w:pPr>
      <w:bookmarkStart w:id="16" w:name="_Toc496177867"/>
      <w:r w:rsidRPr="0052522C">
        <w:t>Maîtrise des déviations de procédé</w:t>
      </w:r>
      <w:bookmarkEnd w:id="16"/>
    </w:p>
    <w:tbl>
      <w:tblPr>
        <w:tblStyle w:val="Tabelraster"/>
        <w:tblW w:w="0" w:type="auto"/>
        <w:tblInd w:w="562" w:type="dxa"/>
        <w:tblLook w:val="04A0" w:firstRow="1" w:lastRow="0" w:firstColumn="1" w:lastColumn="0" w:noHBand="0" w:noVBand="1"/>
      </w:tblPr>
      <w:tblGrid>
        <w:gridCol w:w="8505"/>
        <w:gridCol w:w="4925"/>
      </w:tblGrid>
      <w:tr w:rsidR="006605B9" w:rsidRPr="00B42730" w:rsidTr="006605B9">
        <w:tc>
          <w:tcPr>
            <w:tcW w:w="8505" w:type="dxa"/>
          </w:tcPr>
          <w:p w:rsidR="006605B9" w:rsidRPr="006605B9" w:rsidRDefault="006605B9" w:rsidP="008412B8">
            <w:pPr>
              <w:pStyle w:val="Kop3"/>
            </w:pPr>
            <w:r w:rsidRPr="006605B9">
              <w:t>Mise sous pression du camion- ou du wagon-citerne via la pompe de remplissage</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C97535">
            <w:pPr>
              <w:pStyle w:val="Toelichtingscenario"/>
              <w:spacing w:before="120" w:after="120"/>
              <w:rPr>
                <w:lang w:val="fr-BE"/>
              </w:rPr>
            </w:pPr>
            <w:r w:rsidRPr="006605B9">
              <w:rPr>
                <w:lang w:val="fr-BE"/>
              </w:rPr>
              <w:t xml:space="preserve">Il existe différentes causes possibles pouvant mener à la mise sous pression du wagon- ou du camion-citerne via la pompe de remplissage. Celles-ci dépendent de la manière dont le réservoir de transport est rempli : avec le retour vapeur, avec réglage de la pression ou </w:t>
            </w:r>
            <w:r w:rsidRPr="006605B9">
              <w:rPr>
                <w:lang w:val="fr-BE"/>
              </w:rPr>
              <w:lastRenderedPageBreak/>
              <w:t xml:space="preserve">sans retour vapeur (vers le réservoir de transport ou vers le traitement des effluents gazeux). </w:t>
            </w:r>
          </w:p>
        </w:tc>
        <w:tc>
          <w:tcPr>
            <w:tcW w:w="4925" w:type="dxa"/>
          </w:tcPr>
          <w:p w:rsidR="006605B9" w:rsidRPr="006605B9" w:rsidRDefault="006605B9" w:rsidP="00C97535">
            <w:pPr>
              <w:spacing w:before="120" w:after="120"/>
              <w:rPr>
                <w:lang w:val="fr-BE"/>
              </w:rPr>
            </w:pPr>
          </w:p>
        </w:tc>
      </w:tr>
      <w:tr w:rsidR="006605B9" w:rsidRPr="00B42730" w:rsidTr="006605B9">
        <w:tc>
          <w:tcPr>
            <w:tcW w:w="8505" w:type="dxa"/>
          </w:tcPr>
          <w:p w:rsidR="006605B9" w:rsidRPr="006605B9" w:rsidRDefault="006605B9" w:rsidP="00C97535">
            <w:pPr>
              <w:pStyle w:val="Toelichtingscenario"/>
              <w:spacing w:before="120" w:after="120"/>
              <w:rPr>
                <w:lang w:val="fr-BE"/>
              </w:rPr>
            </w:pPr>
            <w:r w:rsidRPr="006605B9">
              <w:rPr>
                <w:lang w:val="fr-BE"/>
              </w:rPr>
              <w:t>Lors d’un remplissage avec le retour vapeur, la phase vapeur du camion- ou du wagon-citerne est en liaison permanente (via la conduite de retour vapeur) avec le réservoir d’où le remplissage a lieu. Cette méthode de travail est utilisée en présence de gaz inertes ou lorsque les vapeurs ne se condensent pas suffisamment rapidement pour prévenir une augmentation (trop élevée) de la pression dans le réservoir de transport. Lorsque, avant le remplissage, une vanne sur la conduite de retour vapeur n’est pas ouverte ou est fermée pendant le remplissage, le réservoir de transport peut être mis sous pression via la pompe de remplissage.</w:t>
            </w:r>
          </w:p>
        </w:tc>
        <w:tc>
          <w:tcPr>
            <w:tcW w:w="4925" w:type="dxa"/>
          </w:tcPr>
          <w:p w:rsidR="006605B9" w:rsidRPr="006605B9" w:rsidRDefault="006605B9" w:rsidP="00C97535">
            <w:pPr>
              <w:spacing w:before="120" w:after="120"/>
              <w:rPr>
                <w:lang w:val="fr-BE"/>
              </w:rPr>
            </w:pPr>
          </w:p>
        </w:tc>
      </w:tr>
      <w:tr w:rsidR="006605B9" w:rsidRPr="00B42730" w:rsidTr="006605B9">
        <w:tc>
          <w:tcPr>
            <w:tcW w:w="8505" w:type="dxa"/>
          </w:tcPr>
          <w:p w:rsidR="006605B9" w:rsidRPr="006605B9" w:rsidRDefault="006605B9" w:rsidP="00C97535">
            <w:pPr>
              <w:pStyle w:val="Toelichtingscenario"/>
              <w:spacing w:before="120" w:after="120"/>
              <w:rPr>
                <w:lang w:val="fr-BE"/>
              </w:rPr>
            </w:pPr>
            <w:r w:rsidRPr="006605B9">
              <w:rPr>
                <w:lang w:val="fr-BE"/>
              </w:rPr>
              <w:t>Lors d’un remplissage avec un réglage de la pression, la phase vapeur est reliée à une unité de traitement des effluents gazeux. Des éventuels gaz inertes sont de cette manière éliminés. La consigne du réglage de pression se situe typiquement un peu au-dessus de la pression d’équilibre du gaz. Dans cette configuration, une pression élevée peut apparaître à cause d’une vanne manuelle fermée dans la conduite des effluents gazeux ou à cause de la défaillance en position fermée d’une vanne de régulation de la pression.</w:t>
            </w:r>
          </w:p>
        </w:tc>
        <w:tc>
          <w:tcPr>
            <w:tcW w:w="4925" w:type="dxa"/>
          </w:tcPr>
          <w:p w:rsidR="006605B9" w:rsidRPr="006605B9" w:rsidRDefault="006605B9" w:rsidP="00C97535">
            <w:pPr>
              <w:spacing w:before="120" w:after="120"/>
              <w:rPr>
                <w:lang w:val="fr-BE"/>
              </w:rPr>
            </w:pPr>
          </w:p>
        </w:tc>
      </w:tr>
      <w:tr w:rsidR="006605B9" w:rsidRPr="00B42730" w:rsidTr="006605B9">
        <w:tc>
          <w:tcPr>
            <w:tcW w:w="8505" w:type="dxa"/>
          </w:tcPr>
          <w:p w:rsidR="006605B9" w:rsidRPr="006605B9" w:rsidRDefault="006605B9" w:rsidP="00C97535">
            <w:pPr>
              <w:pStyle w:val="Toelichtingscenario"/>
              <w:spacing w:before="120" w:after="120"/>
              <w:rPr>
                <w:lang w:val="fr-BE"/>
              </w:rPr>
            </w:pPr>
            <w:r w:rsidRPr="006605B9">
              <w:rPr>
                <w:lang w:val="fr-BE"/>
              </w:rPr>
              <w:t xml:space="preserve">Lors d’un remplissage sans retour vapeur, on compte sur le fait que la condensation de la phase vapeur a lieu suffisamment rapidement de sorte qu’il n’y ait aucune accumulation de vapeurs dans la phase gazeuse. Pour ce faire, on va s’assurer d’un bon contact entre la phase liquide et la phase vapeur, typiquement en alimentant la phase vapeur via une conduite de pulvérisation dans le haut du réservoir. Dans ce dernier cas, le liquide sera pulvérisé contre la partie supérieure du réservoir et formera ainsi un brouillard. Un remplissage sans phase vapeur est seulement possible lorsque l’on ne s’attend pas à avoir des gaz incondensables. Lorsque ceux-ci sont présents malgré tout, la pompe de remplissage peut mettre le réservoir sous pression. </w:t>
            </w:r>
          </w:p>
        </w:tc>
        <w:tc>
          <w:tcPr>
            <w:tcW w:w="4925" w:type="dxa"/>
          </w:tcPr>
          <w:p w:rsidR="006605B9" w:rsidRPr="006605B9" w:rsidRDefault="006605B9" w:rsidP="00C97535">
            <w:pPr>
              <w:spacing w:before="120" w:after="120"/>
              <w:rPr>
                <w:lang w:val="fr-BE"/>
              </w:rPr>
            </w:pPr>
          </w:p>
        </w:tc>
      </w:tr>
      <w:tr w:rsidR="006605B9" w:rsidRPr="00B42730" w:rsidTr="006605B9">
        <w:tc>
          <w:tcPr>
            <w:tcW w:w="8505" w:type="dxa"/>
          </w:tcPr>
          <w:p w:rsidR="006605B9" w:rsidRPr="006605B9" w:rsidRDefault="006605B9" w:rsidP="00C97535">
            <w:pPr>
              <w:pStyle w:val="Toelichtingscenario"/>
              <w:spacing w:before="120" w:after="120"/>
              <w:rPr>
                <w:lang w:val="fr-BE"/>
              </w:rPr>
            </w:pPr>
            <w:r w:rsidRPr="006605B9">
              <w:rPr>
                <w:lang w:val="fr-BE"/>
              </w:rPr>
              <w:t>Sur des wagons-citernes, on n’a en principe jamais de soupapes de sécurité. Si la pression de conception du wagon-citerne est dépassée, il peut donc y avoir une fuite ou une déchirure.</w:t>
            </w:r>
          </w:p>
        </w:tc>
        <w:tc>
          <w:tcPr>
            <w:tcW w:w="4925" w:type="dxa"/>
          </w:tcPr>
          <w:p w:rsidR="006605B9" w:rsidRPr="006605B9" w:rsidRDefault="006605B9" w:rsidP="00C97535">
            <w:pPr>
              <w:spacing w:before="120" w:after="120"/>
              <w:rPr>
                <w:lang w:val="fr-BE"/>
              </w:rPr>
            </w:pPr>
          </w:p>
        </w:tc>
      </w:tr>
      <w:tr w:rsidR="006605B9" w:rsidRPr="00B42730" w:rsidTr="006605B9">
        <w:tc>
          <w:tcPr>
            <w:tcW w:w="8505" w:type="dxa"/>
          </w:tcPr>
          <w:p w:rsidR="006605B9" w:rsidRPr="006605B9" w:rsidRDefault="006605B9" w:rsidP="00C97535">
            <w:pPr>
              <w:spacing w:before="120" w:after="120"/>
              <w:rPr>
                <w:sz w:val="18"/>
                <w:szCs w:val="18"/>
                <w:lang w:val="fr-BE"/>
              </w:rPr>
            </w:pPr>
            <w:r w:rsidRPr="006605B9">
              <w:rPr>
                <w:sz w:val="18"/>
                <w:lang w:val="fr-BE"/>
              </w:rPr>
              <w:t>Sur des camions-citernes, on dispose bien en principe de soupapes de sécurité. Si la pression de la pompe est suffisamment élevée, les soupapes de sécurité peuvent être sollicitées, de sorte qu’il y aura alors une libération de gaz. La limitation suffisante de la pression qui en découle dans le camion-citerne dépend du dimensionnement des soupapes de sécurité. La sollicitation des soupapes de sécurité est considérée dans ce scénario comme un évènement indésiré. Pour ces raisons, les soupapes de sécurité sur le camion-citerne lui-même ne sont pas considérées comme une mesure.</w:t>
            </w:r>
          </w:p>
        </w:tc>
        <w:tc>
          <w:tcPr>
            <w:tcW w:w="4925" w:type="dxa"/>
          </w:tcPr>
          <w:p w:rsidR="006605B9" w:rsidRPr="006605B9" w:rsidRDefault="006605B9" w:rsidP="00C97535">
            <w:pPr>
              <w:spacing w:before="120" w:after="120"/>
              <w:rPr>
                <w:sz w:val="18"/>
                <w:lang w:val="fr-BE"/>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lastRenderedPageBreak/>
              <w:t>Sécurité instrumentale contre une pression élevée</w:t>
            </w:r>
          </w:p>
        </w:tc>
        <w:tc>
          <w:tcPr>
            <w:tcW w:w="4925" w:type="dxa"/>
          </w:tcPr>
          <w:p w:rsidR="006605B9" w:rsidRPr="006605B9" w:rsidRDefault="006605B9" w:rsidP="006605B9">
            <w:pPr>
              <w:rPr>
                <w:lang w:val="fr-BE"/>
              </w:rPr>
            </w:pPr>
          </w:p>
        </w:tc>
      </w:tr>
      <w:tr w:rsidR="006605B9" w:rsidRPr="006605B9" w:rsidTr="006605B9">
        <w:tc>
          <w:tcPr>
            <w:tcW w:w="8505" w:type="dxa"/>
          </w:tcPr>
          <w:p w:rsidR="006605B9" w:rsidRPr="006605B9" w:rsidRDefault="006605B9" w:rsidP="008412B8">
            <w:pPr>
              <w:pStyle w:val="Toelichtingvraag"/>
              <w:ind w:left="0"/>
            </w:pPr>
            <w:r w:rsidRPr="006605B9">
              <w:t>Actions</w:t>
            </w:r>
          </w:p>
        </w:tc>
        <w:tc>
          <w:tcPr>
            <w:tcW w:w="4925" w:type="dxa"/>
          </w:tcPr>
          <w:p w:rsidR="006605B9" w:rsidRPr="006605B9" w:rsidRDefault="006605B9" w:rsidP="006605B9"/>
        </w:tc>
      </w:tr>
      <w:tr w:rsidR="006605B9" w:rsidRPr="00B42730" w:rsidTr="006605B9">
        <w:tc>
          <w:tcPr>
            <w:tcW w:w="8505" w:type="dxa"/>
          </w:tcPr>
          <w:p w:rsidR="006605B9" w:rsidRPr="006605B9" w:rsidRDefault="006605B9" w:rsidP="008412B8">
            <w:pPr>
              <w:pStyle w:val="toelichtingvraaginsprong1"/>
              <w:numPr>
                <w:ilvl w:val="1"/>
                <w:numId w:val="23"/>
              </w:numPr>
            </w:pPr>
            <w:r w:rsidRPr="006605B9">
              <w:t>La pression est mesurée dans la tuyauterie de remplissage. Le remplissage est automatiquement arrêté lorsque le point de consigne est atteint. Le point de consigne se situe évidemment en-dessous de la pression maximale acceptable dans le réservoir. Si plusieurs gaz (avec différentes tensions de vapeur) sont chargés via le même point de remplissage, le point de consigne correct doit être réglé avant chaque chargement.</w:t>
            </w:r>
          </w:p>
        </w:tc>
        <w:tc>
          <w:tcPr>
            <w:tcW w:w="4925" w:type="dxa"/>
          </w:tcPr>
          <w:p w:rsidR="006605B9" w:rsidRPr="006605B9" w:rsidRDefault="006605B9" w:rsidP="006605B9">
            <w:pPr>
              <w:rPr>
                <w:lang w:val="fr-FR"/>
              </w:rPr>
            </w:pPr>
          </w:p>
        </w:tc>
      </w:tr>
      <w:tr w:rsidR="006605B9" w:rsidRPr="006605B9" w:rsidTr="006605B9">
        <w:tc>
          <w:tcPr>
            <w:tcW w:w="8505" w:type="dxa"/>
          </w:tcPr>
          <w:p w:rsidR="006605B9" w:rsidRPr="006605B9" w:rsidRDefault="006605B9" w:rsidP="008412B8">
            <w:pPr>
              <w:pStyle w:val="Toelichtingvraag"/>
              <w:ind w:left="0"/>
            </w:pPr>
            <w:r w:rsidRPr="006605B9">
              <w:t>Indépendance</w:t>
            </w:r>
          </w:p>
        </w:tc>
        <w:tc>
          <w:tcPr>
            <w:tcW w:w="4925" w:type="dxa"/>
          </w:tcPr>
          <w:p w:rsidR="006605B9" w:rsidRPr="006605B9" w:rsidRDefault="006605B9" w:rsidP="006605B9"/>
        </w:tc>
      </w:tr>
      <w:tr w:rsidR="006605B9" w:rsidRPr="00B42730" w:rsidTr="006605B9">
        <w:tc>
          <w:tcPr>
            <w:tcW w:w="8505" w:type="dxa"/>
          </w:tcPr>
          <w:p w:rsidR="006605B9" w:rsidRPr="006605B9" w:rsidRDefault="006605B9" w:rsidP="008412B8">
            <w:pPr>
              <w:pStyle w:val="toelichtingvraaginsprong1"/>
              <w:numPr>
                <w:ilvl w:val="1"/>
                <w:numId w:val="23"/>
              </w:numPr>
            </w:pPr>
            <w:r w:rsidRPr="006605B9">
              <w:t>La sécurité est indépendante d’un contrôle de la pression dans le réservoir.</w:t>
            </w:r>
            <w:r w:rsidRPr="006605B9">
              <w:br/>
            </w:r>
          </w:p>
        </w:tc>
        <w:tc>
          <w:tcPr>
            <w:tcW w:w="4925" w:type="dxa"/>
          </w:tcPr>
          <w:p w:rsidR="006605B9" w:rsidRPr="006605B9" w:rsidRDefault="006605B9" w:rsidP="006605B9">
            <w:pPr>
              <w:rPr>
                <w:lang w:val="fr-FR"/>
              </w:rPr>
            </w:pPr>
          </w:p>
        </w:tc>
      </w:tr>
      <w:tr w:rsidR="006605B9" w:rsidRPr="006605B9" w:rsidTr="006605B9">
        <w:tc>
          <w:tcPr>
            <w:tcW w:w="8505" w:type="dxa"/>
          </w:tcPr>
          <w:p w:rsidR="006605B9" w:rsidRPr="006605B9" w:rsidRDefault="006605B9" w:rsidP="008412B8">
            <w:pPr>
              <w:pStyle w:val="Toelichtingvraag"/>
              <w:ind w:left="0"/>
            </w:pPr>
            <w:r w:rsidRPr="006605B9">
              <w:t>Inspection</w:t>
            </w:r>
          </w:p>
        </w:tc>
        <w:tc>
          <w:tcPr>
            <w:tcW w:w="4925" w:type="dxa"/>
          </w:tcPr>
          <w:p w:rsidR="006605B9" w:rsidRPr="006605B9" w:rsidRDefault="006605B9" w:rsidP="006605B9"/>
        </w:tc>
      </w:tr>
      <w:tr w:rsidR="006605B9" w:rsidRPr="00B42730" w:rsidTr="006605B9">
        <w:tc>
          <w:tcPr>
            <w:tcW w:w="8505" w:type="dxa"/>
          </w:tcPr>
          <w:p w:rsidR="006605B9" w:rsidRPr="006605B9" w:rsidRDefault="006605B9" w:rsidP="008412B8">
            <w:pPr>
              <w:pStyle w:val="toelichtingvraaginsprong1"/>
              <w:numPr>
                <w:ilvl w:val="1"/>
                <w:numId w:val="23"/>
              </w:numPr>
            </w:pPr>
            <w:r w:rsidRPr="006605B9">
              <w:t>La sécurité est testée tous les ans (à moins que ce soit déterminé différemment sur base d’une analyse de fiabilité).</w:t>
            </w:r>
          </w:p>
        </w:tc>
        <w:tc>
          <w:tcPr>
            <w:tcW w:w="4925" w:type="dxa"/>
          </w:tcPr>
          <w:p w:rsidR="006605B9" w:rsidRPr="006605B9" w:rsidRDefault="006605B9" w:rsidP="006605B9">
            <w:pPr>
              <w:rPr>
                <w:lang w:val="fr-FR"/>
              </w:rPr>
            </w:pPr>
          </w:p>
        </w:tc>
      </w:tr>
      <w:tr w:rsidR="006605B9" w:rsidRPr="00B42730" w:rsidTr="006605B9">
        <w:tc>
          <w:tcPr>
            <w:tcW w:w="8505" w:type="dxa"/>
          </w:tcPr>
          <w:p w:rsidR="006605B9" w:rsidRPr="006605B9" w:rsidRDefault="006605B9" w:rsidP="008412B8">
            <w:pPr>
              <w:pStyle w:val="Kop3"/>
            </w:pPr>
            <w:r w:rsidRPr="006605B9">
              <w:t>Surpression dans un wagon-citerne à cause de l’expansion thermique après surremplissage</w:t>
            </w:r>
          </w:p>
        </w:tc>
        <w:tc>
          <w:tcPr>
            <w:tcW w:w="4925" w:type="dxa"/>
          </w:tcPr>
          <w:p w:rsidR="006605B9" w:rsidRPr="006605B9" w:rsidRDefault="006605B9" w:rsidP="006605B9">
            <w:pPr>
              <w:rPr>
                <w:lang w:val="fr-FR"/>
              </w:rPr>
            </w:pPr>
          </w:p>
        </w:tc>
      </w:tr>
      <w:tr w:rsidR="00C97535" w:rsidRPr="00B42730" w:rsidTr="00892045">
        <w:trPr>
          <w:trHeight w:val="2407"/>
        </w:trPr>
        <w:tc>
          <w:tcPr>
            <w:tcW w:w="8505" w:type="dxa"/>
          </w:tcPr>
          <w:p w:rsidR="00C97535" w:rsidRPr="006605B9" w:rsidRDefault="00C97535" w:rsidP="00C97535">
            <w:pPr>
              <w:pStyle w:val="Toelichtingscenario"/>
              <w:spacing w:before="120" w:after="120"/>
              <w:rPr>
                <w:lang w:val="fr-BE"/>
              </w:rPr>
            </w:pPr>
            <w:r w:rsidRPr="006605B9">
              <w:rPr>
                <w:lang w:val="fr-BE"/>
              </w:rPr>
              <w:t>Contrairement au camion-citerne, des wagons-citernes ne sont en principe jamais équipés d’une sécurité de surremplissage.</w:t>
            </w:r>
          </w:p>
          <w:p w:rsidR="00C97535" w:rsidRPr="006605B9" w:rsidRDefault="00C97535" w:rsidP="00C97535">
            <w:pPr>
              <w:pStyle w:val="Toelichtingscenario"/>
              <w:spacing w:before="120" w:after="120"/>
              <w:rPr>
                <w:lang w:val="fr-BE"/>
              </w:rPr>
            </w:pPr>
            <w:r w:rsidRPr="006605B9">
              <w:rPr>
                <w:lang w:val="fr-BE"/>
              </w:rPr>
              <w:t xml:space="preserve">Les services d’inspection s’attendent à ce qu’il y ait deux mesures indépendantes: </w:t>
            </w:r>
          </w:p>
          <w:p w:rsidR="00C97535" w:rsidRPr="006605B9" w:rsidRDefault="00C97535" w:rsidP="00C97535">
            <w:pPr>
              <w:pStyle w:val="Opsomming"/>
              <w:spacing w:before="120" w:after="120"/>
              <w:rPr>
                <w:sz w:val="18"/>
                <w:lang w:val="fr-BE"/>
              </w:rPr>
            </w:pPr>
            <w:r w:rsidRPr="006605B9">
              <w:rPr>
                <w:sz w:val="18"/>
                <w:lang w:val="fr-BE"/>
              </w:rPr>
              <w:t>Un contrôle du processus de remplissage (par exemple via une mesure de débit)</w:t>
            </w:r>
          </w:p>
          <w:p w:rsidR="00C97535" w:rsidRPr="006605B9" w:rsidRDefault="00C97535" w:rsidP="00C97535">
            <w:pPr>
              <w:pStyle w:val="Opsomming"/>
              <w:spacing w:before="120" w:after="120"/>
              <w:rPr>
                <w:sz w:val="18"/>
                <w:lang w:val="fr-BE"/>
              </w:rPr>
            </w:pPr>
            <w:r w:rsidRPr="006605B9">
              <w:rPr>
                <w:sz w:val="18"/>
                <w:lang w:val="fr-BE"/>
              </w:rPr>
              <w:t>Une vérification du taux de remplissage via une pesée.</w:t>
            </w:r>
          </w:p>
          <w:p w:rsidR="00C97535" w:rsidRPr="006605B9" w:rsidRDefault="00C97535" w:rsidP="00C97535">
            <w:pPr>
              <w:pStyle w:val="Toelichtingscenario"/>
              <w:spacing w:before="120" w:after="120"/>
              <w:rPr>
                <w:lang w:val="fr-BE"/>
              </w:rPr>
            </w:pPr>
            <w:r w:rsidRPr="006605B9">
              <w:rPr>
                <w:lang w:val="fr-BE"/>
              </w:rPr>
              <w:t>Une combinaison de 2 des 3 mesures ci-dessous suffit si elles sont indépendantes entre elles.</w:t>
            </w:r>
          </w:p>
        </w:tc>
        <w:tc>
          <w:tcPr>
            <w:tcW w:w="4925" w:type="dxa"/>
          </w:tcPr>
          <w:p w:rsidR="00C97535" w:rsidRPr="006605B9" w:rsidRDefault="00C97535" w:rsidP="00C97535">
            <w:pPr>
              <w:spacing w:before="120" w:after="120"/>
              <w:rPr>
                <w:lang w:val="fr-BE"/>
              </w:rPr>
            </w:pPr>
          </w:p>
        </w:tc>
      </w:tr>
      <w:tr w:rsidR="006605B9" w:rsidRPr="00B42730" w:rsidTr="006605B9">
        <w:tc>
          <w:tcPr>
            <w:tcW w:w="8505" w:type="dxa"/>
          </w:tcPr>
          <w:p w:rsidR="006605B9" w:rsidRPr="006605B9" w:rsidRDefault="006605B9" w:rsidP="008412B8">
            <w:pPr>
              <w:pStyle w:val="Mesure"/>
              <w:rPr>
                <w:szCs w:val="20"/>
              </w:rPr>
            </w:pPr>
            <w:r w:rsidRPr="006605B9">
              <w:lastRenderedPageBreak/>
              <w:t>Mesure de débit stoppant le remplissage après avoir fourni la quantité souhaitée</w:t>
            </w:r>
          </w:p>
        </w:tc>
        <w:tc>
          <w:tcPr>
            <w:tcW w:w="4925" w:type="dxa"/>
          </w:tcPr>
          <w:p w:rsidR="006605B9" w:rsidRPr="006605B9" w:rsidRDefault="006605B9" w:rsidP="006605B9">
            <w:pPr>
              <w:rPr>
                <w:lang w:val="fr-FR"/>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 xml:space="preserve">Le remplissage est arrêté automatiquement lorsque la quantité de produit désirée a été pompée. </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szCs w:val="20"/>
                <w:lang w:val="fr-BE"/>
              </w:rPr>
            </w:pPr>
            <w:r w:rsidRPr="006605B9">
              <w:rPr>
                <w:lang w:val="fr-BE"/>
              </w:rPr>
              <w:t>La quantité doit être adaptée après vérification du volume encore disponible [14].</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FR"/>
              </w:rPr>
            </w:pPr>
            <w:r w:rsidRPr="006605B9">
              <w:rPr>
                <w:lang w:val="fr-FR"/>
              </w:rPr>
              <w:t>Remplissage sur un pont-bascule</w:t>
            </w:r>
          </w:p>
        </w:tc>
        <w:tc>
          <w:tcPr>
            <w:tcW w:w="4925" w:type="dxa"/>
          </w:tcPr>
          <w:p w:rsidR="006605B9" w:rsidRPr="006605B9" w:rsidRDefault="006605B9" w:rsidP="006605B9">
            <w:pPr>
              <w:rPr>
                <w:lang w:val="fr-FR"/>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Le remplissage est arrêté automatiquement lorsque le poids maximal est atteint.</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t>Contrôle du taux de remplissage après remplissage</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Si le remplissage est contrôlé à l’aide d’un pont-bascule, cette vérification en est uniquement indépendante que si elle a lieu via un autre pont-bascule.</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Kop3"/>
            </w:pPr>
            <w:r w:rsidRPr="006605B9">
              <w:t>Surpression dans des camions-citernes à cause de l’expansion thermique après surremplissage</w:t>
            </w:r>
          </w:p>
        </w:tc>
        <w:tc>
          <w:tcPr>
            <w:tcW w:w="4925" w:type="dxa"/>
          </w:tcPr>
          <w:p w:rsidR="006605B9" w:rsidRPr="006605B9" w:rsidRDefault="006605B9" w:rsidP="006605B9">
            <w:pPr>
              <w:rPr>
                <w:lang w:val="fr-FR"/>
              </w:rPr>
            </w:pPr>
          </w:p>
        </w:tc>
      </w:tr>
      <w:tr w:rsidR="006605B9" w:rsidRPr="00B42730" w:rsidTr="006605B9">
        <w:tc>
          <w:tcPr>
            <w:tcW w:w="8505" w:type="dxa"/>
          </w:tcPr>
          <w:p w:rsidR="006605B9" w:rsidRPr="006605B9" w:rsidRDefault="006605B9" w:rsidP="008412B8">
            <w:pPr>
              <w:pStyle w:val="Toelichtingscenario"/>
              <w:rPr>
                <w:lang w:val="fr-BE"/>
              </w:rPr>
            </w:pPr>
            <w:r w:rsidRPr="006605B9">
              <w:rPr>
                <w:lang w:val="fr-BE"/>
              </w:rPr>
              <w:t xml:space="preserve">Contrairement aux wagons-citernes, on peut par contre trouver une sécurité de surremplissage sur des camions-citernes. Si celle-ci est présente et utilisée, celle-ci peut bien entendu être prise en compte. </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scenario"/>
              <w:rPr>
                <w:lang w:val="fr-BE"/>
              </w:rPr>
            </w:pPr>
            <w:r w:rsidRPr="006605B9">
              <w:rPr>
                <w:lang w:val="fr-BE"/>
              </w:rPr>
              <w:t>Les services d’inspection s’attendent à ce qu’il y ait 2 mesures indépendantes. Une combinaison de 2 des mesures ci-dessous suffit si elles sont indépendantes entre elles.</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Mesure"/>
              <w:rPr>
                <w:szCs w:val="20"/>
              </w:rPr>
            </w:pPr>
            <w:r w:rsidRPr="006605B9">
              <w:t>Mesure de débit stoppant le remplissage après avoir fourni la quantité souhaitée</w:t>
            </w:r>
          </w:p>
        </w:tc>
        <w:tc>
          <w:tcPr>
            <w:tcW w:w="4925" w:type="dxa"/>
          </w:tcPr>
          <w:p w:rsidR="006605B9" w:rsidRPr="006605B9" w:rsidRDefault="006605B9" w:rsidP="006605B9">
            <w:pPr>
              <w:rPr>
                <w:lang w:val="fr-FR"/>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 xml:space="preserve">Le remplissage est arrêté automatiquement lorsque la quantité de produit désirée a été pompée. </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szCs w:val="20"/>
                <w:lang w:val="fr-BE"/>
              </w:rPr>
            </w:pPr>
            <w:r w:rsidRPr="006605B9">
              <w:rPr>
                <w:lang w:val="fr-BE"/>
              </w:rPr>
              <w:t>La quantité doit être adaptée après vérification du volume encore disponible [14].</w:t>
            </w:r>
          </w:p>
        </w:tc>
        <w:tc>
          <w:tcPr>
            <w:tcW w:w="4925" w:type="dxa"/>
          </w:tcPr>
          <w:p w:rsidR="006605B9" w:rsidRPr="006605B9" w:rsidRDefault="006605B9" w:rsidP="006605B9">
            <w:pPr>
              <w:rPr>
                <w:lang w:val="fr-BE"/>
              </w:rPr>
            </w:pPr>
          </w:p>
        </w:tc>
      </w:tr>
      <w:tr w:rsidR="006605B9" w:rsidRPr="006605B9" w:rsidTr="006605B9">
        <w:tc>
          <w:tcPr>
            <w:tcW w:w="8505" w:type="dxa"/>
          </w:tcPr>
          <w:p w:rsidR="006605B9" w:rsidRPr="006605B9" w:rsidRDefault="006605B9" w:rsidP="008412B8">
            <w:pPr>
              <w:pStyle w:val="Maatregel"/>
              <w:numPr>
                <w:ilvl w:val="0"/>
                <w:numId w:val="2"/>
              </w:numPr>
              <w:tabs>
                <w:tab w:val="clear" w:pos="3686"/>
                <w:tab w:val="num" w:pos="567"/>
              </w:tabs>
              <w:ind w:left="567"/>
            </w:pPr>
            <w:r w:rsidRPr="006605B9">
              <w:t>Remplissage sur pont-bascule</w:t>
            </w:r>
          </w:p>
        </w:tc>
        <w:tc>
          <w:tcPr>
            <w:tcW w:w="4925" w:type="dxa"/>
          </w:tcPr>
          <w:p w:rsidR="006605B9" w:rsidRPr="006605B9" w:rsidRDefault="006605B9" w:rsidP="006605B9"/>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Le remplissage est arrêté automatiquement lorsque le poids maximal est atteint.</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Mesure"/>
              <w:rPr>
                <w:szCs w:val="20"/>
              </w:rPr>
            </w:pPr>
            <w:r w:rsidRPr="006605B9">
              <w:lastRenderedPageBreak/>
              <w:t>Système anti-débordement du camion-citerne</w:t>
            </w:r>
          </w:p>
        </w:tc>
        <w:tc>
          <w:tcPr>
            <w:tcW w:w="4925" w:type="dxa"/>
          </w:tcPr>
          <w:p w:rsidR="006605B9" w:rsidRPr="006605B9" w:rsidRDefault="006605B9" w:rsidP="006605B9">
            <w:pPr>
              <w:rPr>
                <w:lang w:val="fr-FR"/>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Le système anti-débordement est intégré dans la citerne du camion et est relié à l’installation fixe via une liaison par prise.</w:t>
            </w:r>
          </w:p>
        </w:tc>
        <w:tc>
          <w:tcPr>
            <w:tcW w:w="4925" w:type="dxa"/>
          </w:tcPr>
          <w:p w:rsidR="006605B9" w:rsidRPr="006605B9" w:rsidRDefault="006605B9" w:rsidP="006605B9">
            <w:pPr>
              <w:rPr>
                <w:lang w:val="fr-BE"/>
              </w:rPr>
            </w:pPr>
          </w:p>
        </w:tc>
      </w:tr>
      <w:tr w:rsidR="006605B9" w:rsidRPr="006605B9" w:rsidTr="006605B9">
        <w:tc>
          <w:tcPr>
            <w:tcW w:w="8505" w:type="dxa"/>
          </w:tcPr>
          <w:p w:rsidR="006605B9" w:rsidRPr="006605B9" w:rsidRDefault="006605B9" w:rsidP="008412B8">
            <w:pPr>
              <w:pStyle w:val="Toelichtingvraag"/>
              <w:ind w:left="0"/>
            </w:pPr>
            <w:r w:rsidRPr="006605B9">
              <w:t>Actions</w:t>
            </w:r>
          </w:p>
        </w:tc>
        <w:tc>
          <w:tcPr>
            <w:tcW w:w="4925" w:type="dxa"/>
          </w:tcPr>
          <w:p w:rsidR="006605B9" w:rsidRPr="006605B9" w:rsidRDefault="006605B9" w:rsidP="006605B9"/>
        </w:tc>
      </w:tr>
      <w:tr w:rsidR="006605B9" w:rsidRPr="00B42730" w:rsidTr="006605B9">
        <w:tc>
          <w:tcPr>
            <w:tcW w:w="8505" w:type="dxa"/>
          </w:tcPr>
          <w:p w:rsidR="006605B9" w:rsidRPr="006605B9" w:rsidRDefault="006605B9" w:rsidP="008412B8">
            <w:pPr>
              <w:pStyle w:val="toelichtingvraaginsprong1"/>
            </w:pPr>
            <w:r w:rsidRPr="006605B9">
              <w:t>Lors de l'activation du système anti-débordement du compartiment concerné du camion-citerne, la pompe de chargement est automatiquement arrêtée et/ou les vannes automatiques (de l'installation fixe) sont fermées [14].</w:t>
            </w:r>
          </w:p>
        </w:tc>
        <w:tc>
          <w:tcPr>
            <w:tcW w:w="4925" w:type="dxa"/>
          </w:tcPr>
          <w:p w:rsidR="006605B9" w:rsidRPr="006605B9" w:rsidRDefault="006605B9" w:rsidP="006605B9">
            <w:pPr>
              <w:rPr>
                <w:lang w:val="fr-FR"/>
              </w:rPr>
            </w:pPr>
          </w:p>
        </w:tc>
      </w:tr>
      <w:tr w:rsidR="006605B9" w:rsidRPr="006605B9" w:rsidTr="006605B9">
        <w:tc>
          <w:tcPr>
            <w:tcW w:w="8505" w:type="dxa"/>
          </w:tcPr>
          <w:p w:rsidR="006605B9" w:rsidRPr="006605B9" w:rsidRDefault="006605B9" w:rsidP="008412B8">
            <w:pPr>
              <w:pStyle w:val="Toelichtingvraag"/>
              <w:ind w:left="0"/>
              <w:rPr>
                <w:lang w:val="fr-BE"/>
              </w:rPr>
            </w:pPr>
            <w:r w:rsidRPr="006605B9">
              <w:rPr>
                <w:lang w:val="fr-BE"/>
              </w:rPr>
              <w:t>Inspection</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insprong1"/>
              <w:rPr>
                <w:szCs w:val="20"/>
              </w:rPr>
            </w:pPr>
            <w:r w:rsidRPr="006605B9">
              <w:t>Un test fonctionnel de la boucle de sécurité toute entière est repris dans un programme d'inspection périodique.</w:t>
            </w:r>
          </w:p>
        </w:tc>
        <w:tc>
          <w:tcPr>
            <w:tcW w:w="4925" w:type="dxa"/>
          </w:tcPr>
          <w:p w:rsidR="006605B9" w:rsidRPr="00B42730" w:rsidRDefault="006605B9" w:rsidP="006605B9">
            <w:pPr>
              <w:rPr>
                <w:lang w:val="fr-FR"/>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t>Vérification du taux de remplissage via pont-bascule après le remplissage</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 xml:space="preserve">Si le remplissage est contrôlé à l’aide d’un pont-bascule, cette vérification en est uniquement indépendante que si elle a lieu via un autre pont-bascule. </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Kop3"/>
            </w:pPr>
            <w:r w:rsidRPr="006605B9">
              <w:t>Déconnexion de la tuyauterie de retour vapeur dans laquelle du liquide est présent</w:t>
            </w:r>
          </w:p>
        </w:tc>
        <w:tc>
          <w:tcPr>
            <w:tcW w:w="4925" w:type="dxa"/>
          </w:tcPr>
          <w:p w:rsidR="006605B9" w:rsidRPr="00360307" w:rsidRDefault="006605B9" w:rsidP="006605B9">
            <w:pPr>
              <w:rPr>
                <w:lang w:val="fr-FR"/>
              </w:rPr>
            </w:pPr>
          </w:p>
        </w:tc>
      </w:tr>
      <w:tr w:rsidR="006605B9" w:rsidRPr="00B42730" w:rsidTr="006605B9">
        <w:tc>
          <w:tcPr>
            <w:tcW w:w="8505" w:type="dxa"/>
          </w:tcPr>
          <w:p w:rsidR="006605B9" w:rsidRPr="006605B9" w:rsidRDefault="006605B9" w:rsidP="00C97535">
            <w:pPr>
              <w:pStyle w:val="Toelichtingscenario"/>
              <w:spacing w:before="120" w:after="120"/>
              <w:rPr>
                <w:lang w:val="fr-BE"/>
              </w:rPr>
            </w:pPr>
            <w:r w:rsidRPr="006605B9">
              <w:rPr>
                <w:lang w:val="fr-BE"/>
              </w:rPr>
              <w:t>Lors du surremplissage de camion- et de wagon-citerne, du gaz liquéfié peut se retrouver dans la tuyauterie d’évacuation des vapeurs (retour vapeur ou vers traitement des effluents gazeux). Lors de la déconnexion du bras de chargement ou du flexible de la liaison pour l’évacuation des vapeurs, ce liquide peut se libérer. C’est pourquoi il est important que l’entrée de liquide dans la tuyauterie d’évacuation des vapeurs soit détectée et que le chargement soit alors immédiatement arrêté. Après, le liquide doit être poussé hors de la tuyauterie d’évacuation des vapeurs, avant que celle-ci ne soit déconnectée.</w:t>
            </w:r>
          </w:p>
        </w:tc>
        <w:tc>
          <w:tcPr>
            <w:tcW w:w="4925" w:type="dxa"/>
          </w:tcPr>
          <w:p w:rsidR="006605B9" w:rsidRPr="006605B9" w:rsidRDefault="006605B9" w:rsidP="00C97535">
            <w:pPr>
              <w:spacing w:before="120" w:after="120"/>
              <w:rPr>
                <w:lang w:val="fr-BE"/>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t>Détection de liquide dans la tuyauterie de retour vapeur stoppe le chargement</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lastRenderedPageBreak/>
              <w:t>La détection de liquide stoppe le chargement et donne un signal clair sur place pour signifier que du liquide a été détecté dans la tuyauterie d’évacuation des vapeurs.</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La détection et l’action correspondante sont testées tous les ans (à moins que ce soit déterminé différemment sur base d’une analyse de fiabilité).</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t>Procédure pour l’élimination du liquide hors de la tuyauterie de retour vapeur</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Kop3"/>
            </w:pPr>
            <w:r w:rsidRPr="006605B9">
              <w:t>Mouvement du camion-citerne connecté</w:t>
            </w:r>
          </w:p>
        </w:tc>
        <w:tc>
          <w:tcPr>
            <w:tcW w:w="4925" w:type="dxa"/>
          </w:tcPr>
          <w:p w:rsidR="006605B9" w:rsidRPr="00360307" w:rsidRDefault="006605B9" w:rsidP="006605B9">
            <w:pPr>
              <w:rPr>
                <w:lang w:val="fr-FR"/>
              </w:rPr>
            </w:pPr>
          </w:p>
        </w:tc>
      </w:tr>
      <w:tr w:rsidR="006605B9" w:rsidRPr="00B42730" w:rsidTr="006605B9">
        <w:tc>
          <w:tcPr>
            <w:tcW w:w="8505" w:type="dxa"/>
          </w:tcPr>
          <w:p w:rsidR="006605B9" w:rsidRPr="006605B9" w:rsidRDefault="006605B9" w:rsidP="008412B8">
            <w:pPr>
              <w:pStyle w:val="Mesure"/>
              <w:rPr>
                <w:szCs w:val="20"/>
              </w:rPr>
            </w:pPr>
            <w:r w:rsidRPr="006605B9">
              <w:t>Obligation pour les chauffeurs d'utiliser leur frein à main</w:t>
            </w:r>
          </w:p>
        </w:tc>
        <w:tc>
          <w:tcPr>
            <w:tcW w:w="4925" w:type="dxa"/>
          </w:tcPr>
          <w:p w:rsidR="006605B9" w:rsidRPr="00B42730" w:rsidRDefault="006605B9" w:rsidP="006605B9">
            <w:pPr>
              <w:rPr>
                <w:lang w:val="fr-FR"/>
              </w:rPr>
            </w:pPr>
          </w:p>
        </w:tc>
      </w:tr>
      <w:tr w:rsidR="006605B9" w:rsidRPr="00B42730" w:rsidTr="006605B9">
        <w:tc>
          <w:tcPr>
            <w:tcW w:w="8505" w:type="dxa"/>
          </w:tcPr>
          <w:p w:rsidR="006605B9" w:rsidRPr="006605B9" w:rsidRDefault="006605B9" w:rsidP="008412B8">
            <w:pPr>
              <w:pStyle w:val="Toelichtingvraag"/>
              <w:ind w:left="0"/>
              <w:rPr>
                <w:szCs w:val="20"/>
                <w:lang w:val="fr-BE"/>
              </w:rPr>
            </w:pPr>
            <w:r w:rsidRPr="006605B9">
              <w:rPr>
                <w:lang w:val="fr-BE"/>
              </w:rPr>
              <w:t>L'obligation d'utiliser le frein à main est reprise dans les instructions de (dé)chargement (du camion).</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Certains camions (les plus récents) sont équipés d’un système qui active automatiquement les freins lorsqu’ils sont accouplés. Pour d’autres camions il faut compter sur la discipline du chauffeur. L’utilisation du frein à main ne peut toutefois pas être contrôlée sans entrer dans le camion. L’utilisation de cales-roues est une autre manière (complémentaire) d’immobiliser le camion qui est facilement contrôlable.</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Kop3"/>
            </w:pPr>
            <w:r w:rsidRPr="006605B9">
              <w:t>Mouvement du wagon-citerne connecté</w:t>
            </w:r>
          </w:p>
        </w:tc>
        <w:tc>
          <w:tcPr>
            <w:tcW w:w="4925" w:type="dxa"/>
          </w:tcPr>
          <w:p w:rsidR="006605B9" w:rsidRPr="00360307" w:rsidRDefault="006605B9" w:rsidP="006605B9">
            <w:pPr>
              <w:rPr>
                <w:lang w:val="fr-FR"/>
              </w:rPr>
            </w:pPr>
          </w:p>
        </w:tc>
      </w:tr>
      <w:tr w:rsidR="006605B9" w:rsidRPr="00B42730" w:rsidTr="006605B9">
        <w:tc>
          <w:tcPr>
            <w:tcW w:w="8505" w:type="dxa"/>
          </w:tcPr>
          <w:p w:rsidR="006605B9" w:rsidRPr="006605B9" w:rsidRDefault="006605B9" w:rsidP="008412B8">
            <w:pPr>
              <w:pStyle w:val="Mesure"/>
            </w:pPr>
            <w:r w:rsidRPr="006605B9">
              <w:t xml:space="preserve">Bloquage des roues du wagon avec des cales lors du (dé)chargement </w:t>
            </w:r>
          </w:p>
        </w:tc>
        <w:tc>
          <w:tcPr>
            <w:tcW w:w="4925" w:type="dxa"/>
          </w:tcPr>
          <w:p w:rsidR="006605B9" w:rsidRPr="00B42730" w:rsidRDefault="006605B9" w:rsidP="006605B9">
            <w:pPr>
              <w:rPr>
                <w:lang w:val="fr-FR"/>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t>Système pour empêcher la collision de wagons-citernes connectés</w:t>
            </w:r>
          </w:p>
        </w:tc>
        <w:tc>
          <w:tcPr>
            <w:tcW w:w="4925" w:type="dxa"/>
          </w:tcPr>
          <w:p w:rsidR="006605B9" w:rsidRPr="006605B9" w:rsidRDefault="006605B9" w:rsidP="006605B9">
            <w:pPr>
              <w:rPr>
                <w:lang w:val="fr-BE"/>
              </w:rPr>
            </w:pPr>
          </w:p>
        </w:tc>
      </w:tr>
      <w:tr w:rsidR="006605B9" w:rsidRPr="006605B9" w:rsidTr="006605B9">
        <w:tc>
          <w:tcPr>
            <w:tcW w:w="8505" w:type="dxa"/>
          </w:tcPr>
          <w:p w:rsidR="006605B9" w:rsidRPr="006605B9" w:rsidRDefault="006605B9" w:rsidP="008412B8">
            <w:pPr>
              <w:pStyle w:val="Toelichtingvraag"/>
              <w:ind w:left="0"/>
            </w:pPr>
            <w:r w:rsidRPr="006605B9">
              <w:t>Des systèmes possibles sont:</w:t>
            </w:r>
          </w:p>
        </w:tc>
        <w:tc>
          <w:tcPr>
            <w:tcW w:w="4925" w:type="dxa"/>
          </w:tcPr>
          <w:p w:rsidR="006605B9" w:rsidRPr="006605B9" w:rsidRDefault="006605B9" w:rsidP="006605B9"/>
        </w:tc>
      </w:tr>
      <w:tr w:rsidR="006605B9" w:rsidRPr="00B42730" w:rsidTr="006605B9">
        <w:tc>
          <w:tcPr>
            <w:tcW w:w="8505" w:type="dxa"/>
          </w:tcPr>
          <w:p w:rsidR="006605B9" w:rsidRPr="006605B9" w:rsidRDefault="006605B9" w:rsidP="008412B8">
            <w:pPr>
              <w:pStyle w:val="toelichtingvraaginsprong1"/>
              <w:numPr>
                <w:ilvl w:val="1"/>
                <w:numId w:val="23"/>
              </w:numPr>
            </w:pPr>
            <w:r w:rsidRPr="006605B9">
              <w:t>fermeture physique des voies (par ex. par une barrière)</w:t>
            </w:r>
          </w:p>
        </w:tc>
        <w:tc>
          <w:tcPr>
            <w:tcW w:w="4925" w:type="dxa"/>
          </w:tcPr>
          <w:p w:rsidR="006605B9" w:rsidRPr="00B42730" w:rsidRDefault="006605B9" w:rsidP="006605B9">
            <w:pPr>
              <w:rPr>
                <w:lang w:val="fr-FR"/>
              </w:rPr>
            </w:pPr>
          </w:p>
        </w:tc>
      </w:tr>
      <w:tr w:rsidR="006605B9" w:rsidRPr="00B42730" w:rsidTr="006605B9">
        <w:tc>
          <w:tcPr>
            <w:tcW w:w="8505" w:type="dxa"/>
          </w:tcPr>
          <w:p w:rsidR="006605B9" w:rsidRPr="006605B9" w:rsidRDefault="006605B9" w:rsidP="008412B8">
            <w:pPr>
              <w:pStyle w:val="toelichtingvraaginsprong1"/>
              <w:numPr>
                <w:ilvl w:val="1"/>
                <w:numId w:val="23"/>
              </w:numPr>
            </w:pPr>
            <w:r w:rsidRPr="006605B9">
              <w:t>placement d’un dispositif de déraillement</w:t>
            </w:r>
          </w:p>
        </w:tc>
        <w:tc>
          <w:tcPr>
            <w:tcW w:w="4925" w:type="dxa"/>
          </w:tcPr>
          <w:p w:rsidR="006605B9" w:rsidRPr="00B42730" w:rsidRDefault="006605B9" w:rsidP="006605B9">
            <w:pPr>
              <w:rPr>
                <w:lang w:val="fr-FR"/>
              </w:rPr>
            </w:pPr>
          </w:p>
        </w:tc>
      </w:tr>
      <w:tr w:rsidR="006605B9" w:rsidRPr="00B42730" w:rsidTr="006605B9">
        <w:tc>
          <w:tcPr>
            <w:tcW w:w="8505" w:type="dxa"/>
          </w:tcPr>
          <w:p w:rsidR="006605B9" w:rsidRPr="006605B9" w:rsidRDefault="006605B9" w:rsidP="008412B8">
            <w:pPr>
              <w:pStyle w:val="toelichtingvraaginsprong1"/>
              <w:numPr>
                <w:ilvl w:val="1"/>
                <w:numId w:val="23"/>
              </w:numPr>
            </w:pPr>
            <w:r w:rsidRPr="006605B9">
              <w:t>aiguillage dont la position est liée à l’autorisation de chargement.</w:t>
            </w:r>
          </w:p>
        </w:tc>
        <w:tc>
          <w:tcPr>
            <w:tcW w:w="4925" w:type="dxa"/>
          </w:tcPr>
          <w:p w:rsidR="006605B9" w:rsidRPr="00B42730" w:rsidRDefault="006605B9" w:rsidP="006605B9">
            <w:pPr>
              <w:rPr>
                <w:lang w:val="fr-FR"/>
              </w:rPr>
            </w:pPr>
          </w:p>
        </w:tc>
      </w:tr>
      <w:tr w:rsidR="006605B9" w:rsidRPr="00B42730" w:rsidTr="006605B9">
        <w:tc>
          <w:tcPr>
            <w:tcW w:w="8505" w:type="dxa"/>
          </w:tcPr>
          <w:p w:rsidR="006605B9" w:rsidRPr="006605B9" w:rsidRDefault="006605B9" w:rsidP="008412B8">
            <w:pPr>
              <w:pStyle w:val="Kop3"/>
            </w:pPr>
            <w:r w:rsidRPr="006605B9">
              <w:lastRenderedPageBreak/>
              <w:t>Dommages au compresseur par cavitation</w:t>
            </w:r>
          </w:p>
        </w:tc>
        <w:tc>
          <w:tcPr>
            <w:tcW w:w="4925" w:type="dxa"/>
          </w:tcPr>
          <w:p w:rsidR="006605B9" w:rsidRPr="00360307" w:rsidRDefault="006605B9" w:rsidP="006605B9">
            <w:pPr>
              <w:rPr>
                <w:lang w:val="fr-FR"/>
              </w:rPr>
            </w:pPr>
          </w:p>
        </w:tc>
      </w:tr>
      <w:tr w:rsidR="006605B9" w:rsidRPr="00B42730" w:rsidTr="006605B9">
        <w:tc>
          <w:tcPr>
            <w:tcW w:w="8505" w:type="dxa"/>
          </w:tcPr>
          <w:p w:rsidR="006605B9" w:rsidRPr="006605B9" w:rsidRDefault="006605B9" w:rsidP="008412B8">
            <w:pPr>
              <w:pStyle w:val="Maatregel"/>
              <w:numPr>
                <w:ilvl w:val="0"/>
                <w:numId w:val="2"/>
              </w:numPr>
              <w:tabs>
                <w:tab w:val="clear" w:pos="3686"/>
                <w:tab w:val="num" w:pos="567"/>
              </w:tabs>
              <w:ind w:left="567"/>
              <w:rPr>
                <w:lang w:val="fr-BE"/>
              </w:rPr>
            </w:pPr>
            <w:r w:rsidRPr="006605B9">
              <w:rPr>
                <w:lang w:val="fr-BE"/>
              </w:rPr>
              <w:t>Réservoir de knock-out avec sécurité de niveau</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 xml:space="preserve">Le réservoir de knock-out récolte le liquide éventuellement entraîné avec la phase gazeuse. </w:t>
            </w:r>
          </w:p>
        </w:tc>
        <w:tc>
          <w:tcPr>
            <w:tcW w:w="4925" w:type="dxa"/>
          </w:tcPr>
          <w:p w:rsidR="006605B9" w:rsidRPr="006605B9" w:rsidRDefault="006605B9" w:rsidP="006605B9">
            <w:pPr>
              <w:rPr>
                <w:lang w:val="fr-BE"/>
              </w:rPr>
            </w:pPr>
          </w:p>
        </w:tc>
      </w:tr>
      <w:tr w:rsidR="006605B9" w:rsidRPr="00B42730" w:rsidTr="006605B9">
        <w:tc>
          <w:tcPr>
            <w:tcW w:w="8505" w:type="dxa"/>
          </w:tcPr>
          <w:p w:rsidR="006605B9" w:rsidRPr="006605B9" w:rsidRDefault="006605B9" w:rsidP="008412B8">
            <w:pPr>
              <w:pStyle w:val="Toelichtingvraag"/>
              <w:ind w:left="0"/>
              <w:rPr>
                <w:lang w:val="fr-BE"/>
              </w:rPr>
            </w:pPr>
            <w:r w:rsidRPr="006605B9">
              <w:rPr>
                <w:lang w:val="fr-BE"/>
              </w:rPr>
              <w:t>Une mesure de niveau détecte la présence de liquide dans le réservoir de knock-out  et arrête le compresseur.</w:t>
            </w:r>
          </w:p>
        </w:tc>
        <w:tc>
          <w:tcPr>
            <w:tcW w:w="4925" w:type="dxa"/>
          </w:tcPr>
          <w:p w:rsidR="006605B9" w:rsidRPr="006605B9" w:rsidRDefault="006605B9" w:rsidP="006605B9">
            <w:pPr>
              <w:rPr>
                <w:lang w:val="fr-BE"/>
              </w:rPr>
            </w:pPr>
          </w:p>
        </w:tc>
      </w:tr>
    </w:tbl>
    <w:p w:rsidR="00164841" w:rsidRPr="008E197A" w:rsidRDefault="00164841" w:rsidP="00164841">
      <w:pPr>
        <w:rPr>
          <w:lang w:val="fr-BE"/>
        </w:rPr>
      </w:pPr>
      <w:bookmarkStart w:id="17" w:name="_Toc424747674"/>
    </w:p>
    <w:p w:rsidR="00164841" w:rsidRDefault="00164841">
      <w:pPr>
        <w:jc w:val="left"/>
        <w:rPr>
          <w:lang w:val="fr-BE"/>
        </w:rPr>
      </w:pPr>
      <w:r w:rsidRPr="008E197A">
        <w:rPr>
          <w:lang w:val="fr-BE"/>
        </w:rPr>
        <w:br w:type="page"/>
      </w:r>
    </w:p>
    <w:p w:rsidR="005A6F16" w:rsidRPr="008E197A" w:rsidRDefault="005A6F16" w:rsidP="005A6F16">
      <w:pPr>
        <w:rPr>
          <w:lang w:val="fr-BE"/>
        </w:rPr>
      </w:pPr>
    </w:p>
    <w:p w:rsidR="002C16B2" w:rsidRPr="0052522C" w:rsidRDefault="002C16B2" w:rsidP="00A70AF4">
      <w:pPr>
        <w:pStyle w:val="Kop2"/>
      </w:pPr>
      <w:bookmarkStart w:id="18" w:name="_Toc496177868"/>
      <w:r w:rsidRPr="0052522C">
        <w:t>Gestion de la dégradation</w:t>
      </w:r>
      <w:bookmarkEnd w:id="17"/>
      <w:bookmarkEnd w:id="18"/>
    </w:p>
    <w:tbl>
      <w:tblPr>
        <w:tblStyle w:val="Tabelraster"/>
        <w:tblW w:w="0" w:type="auto"/>
        <w:tblInd w:w="421" w:type="dxa"/>
        <w:tblLook w:val="04A0" w:firstRow="1" w:lastRow="0" w:firstColumn="1" w:lastColumn="0" w:noHBand="0" w:noVBand="1"/>
      </w:tblPr>
      <w:tblGrid>
        <w:gridCol w:w="8505"/>
        <w:gridCol w:w="5066"/>
      </w:tblGrid>
      <w:tr w:rsidR="008412B8" w:rsidRPr="00B42730" w:rsidTr="00A40138">
        <w:tc>
          <w:tcPr>
            <w:tcW w:w="8505" w:type="dxa"/>
          </w:tcPr>
          <w:p w:rsidR="008412B8" w:rsidRPr="008412B8" w:rsidRDefault="008412B8" w:rsidP="008412B8">
            <w:pPr>
              <w:pStyle w:val="Kop3"/>
            </w:pPr>
            <w:bookmarkStart w:id="19" w:name="_Toc353309703"/>
            <w:bookmarkEnd w:id="19"/>
            <w:r w:rsidRPr="008412B8">
              <w:t>Usure des flexibles due à l’usage et au stockage</w:t>
            </w:r>
          </w:p>
        </w:tc>
        <w:tc>
          <w:tcPr>
            <w:tcW w:w="5066" w:type="dxa"/>
          </w:tcPr>
          <w:p w:rsidR="008412B8" w:rsidRPr="008412B8" w:rsidRDefault="008412B8" w:rsidP="008412B8">
            <w:pPr>
              <w:rPr>
                <w:lang w:val="fr-BE"/>
              </w:rPr>
            </w:pPr>
          </w:p>
        </w:tc>
      </w:tr>
      <w:tr w:rsidR="008412B8" w:rsidRPr="00B42730" w:rsidTr="00A40138">
        <w:tc>
          <w:tcPr>
            <w:tcW w:w="8505" w:type="dxa"/>
          </w:tcPr>
          <w:p w:rsidR="008412B8" w:rsidRPr="008412B8" w:rsidRDefault="008412B8" w:rsidP="008412B8">
            <w:pPr>
              <w:pStyle w:val="Mesure"/>
            </w:pPr>
            <w:r w:rsidRPr="008412B8">
              <w:t>Dispositif pour stocker les flexibles de manière propre et sécurisée</w:t>
            </w:r>
          </w:p>
        </w:tc>
        <w:tc>
          <w:tcPr>
            <w:tcW w:w="5066" w:type="dxa"/>
          </w:tcPr>
          <w:p w:rsidR="008412B8" w:rsidRPr="00B42730" w:rsidRDefault="008412B8" w:rsidP="008412B8">
            <w:pPr>
              <w:rPr>
                <w:lang w:val="fr-FR"/>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 xml:space="preserve">L'usage de ce dispositif est repris dans les instructions de (dé)chargement. </w:t>
            </w:r>
          </w:p>
        </w:tc>
        <w:tc>
          <w:tcPr>
            <w:tcW w:w="5066" w:type="dxa"/>
          </w:tcPr>
          <w:p w:rsidR="008412B8" w:rsidRPr="008412B8" w:rsidRDefault="008412B8" w:rsidP="008412B8">
            <w:pPr>
              <w:rPr>
                <w:lang w:val="fr-BE"/>
              </w:rPr>
            </w:pPr>
          </w:p>
        </w:tc>
      </w:tr>
      <w:tr w:rsidR="008412B8" w:rsidRPr="00B42730" w:rsidTr="00A40138">
        <w:tc>
          <w:tcPr>
            <w:tcW w:w="8505" w:type="dxa"/>
          </w:tcPr>
          <w:p w:rsidR="008412B8" w:rsidRPr="008412B8" w:rsidRDefault="008412B8" w:rsidP="008412B8">
            <w:pPr>
              <w:pStyle w:val="Mesure"/>
              <w:rPr>
                <w:szCs w:val="20"/>
              </w:rPr>
            </w:pPr>
            <w:r w:rsidRPr="008412B8">
              <w:t>Flexibles soutenus selon les directives du fabricant</w:t>
            </w:r>
          </w:p>
        </w:tc>
        <w:tc>
          <w:tcPr>
            <w:tcW w:w="5066" w:type="dxa"/>
          </w:tcPr>
          <w:p w:rsidR="008412B8" w:rsidRPr="00B42730" w:rsidRDefault="008412B8" w:rsidP="008412B8">
            <w:pPr>
              <w:rPr>
                <w:lang w:val="fr-FR"/>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 xml:space="preserve">Un des critères est le rayon minimal de courbure selon lequel le flexible peut être plié. Si le flexible est plié selon une courbure plus petite, il peut être endommagé. Les flexibles que l’on laisse suspendre librement ou avec un support inadapté peuvent être pliés trop fort. </w:t>
            </w:r>
          </w:p>
        </w:tc>
        <w:tc>
          <w:tcPr>
            <w:tcW w:w="5066" w:type="dxa"/>
          </w:tcPr>
          <w:p w:rsidR="008412B8" w:rsidRPr="008412B8" w:rsidRDefault="008412B8" w:rsidP="008412B8">
            <w:pPr>
              <w:rPr>
                <w:lang w:val="fr-BE"/>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 xml:space="preserve">Le poids du flexible rempli peut aussi être trop important pour le laisser suspendre librement. </w:t>
            </w:r>
          </w:p>
        </w:tc>
        <w:tc>
          <w:tcPr>
            <w:tcW w:w="5066" w:type="dxa"/>
          </w:tcPr>
          <w:p w:rsidR="008412B8" w:rsidRPr="008412B8" w:rsidRDefault="008412B8" w:rsidP="008412B8">
            <w:pPr>
              <w:rPr>
                <w:lang w:val="fr-BE"/>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de-DE"/>
              </w:rPr>
              <w:t>Dans de tels cas, un support adapté est alors nécessaire.</w:t>
            </w:r>
          </w:p>
        </w:tc>
        <w:tc>
          <w:tcPr>
            <w:tcW w:w="5066" w:type="dxa"/>
          </w:tcPr>
          <w:p w:rsidR="008412B8" w:rsidRPr="008412B8" w:rsidRDefault="008412B8" w:rsidP="008412B8">
            <w:pPr>
              <w:rPr>
                <w:lang w:val="de-DE"/>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Le fabricant du flexible doit donner des directives à ce sujet dans sa notice.</w:t>
            </w:r>
          </w:p>
        </w:tc>
        <w:tc>
          <w:tcPr>
            <w:tcW w:w="5066" w:type="dxa"/>
          </w:tcPr>
          <w:p w:rsidR="008412B8" w:rsidRPr="008412B8" w:rsidRDefault="008412B8" w:rsidP="008412B8">
            <w:pPr>
              <w:rPr>
                <w:lang w:val="fr-BE"/>
              </w:rPr>
            </w:pPr>
          </w:p>
        </w:tc>
      </w:tr>
      <w:tr w:rsidR="008412B8" w:rsidRPr="00B42730" w:rsidTr="00A40138">
        <w:tc>
          <w:tcPr>
            <w:tcW w:w="8505" w:type="dxa"/>
          </w:tcPr>
          <w:p w:rsidR="008412B8" w:rsidRPr="008412B8" w:rsidRDefault="008412B8" w:rsidP="008412B8">
            <w:pPr>
              <w:pStyle w:val="Mesure"/>
            </w:pPr>
            <w:r w:rsidRPr="008412B8">
              <w:t>Contrôle visuel avant chaque utilisation</w:t>
            </w:r>
          </w:p>
        </w:tc>
        <w:tc>
          <w:tcPr>
            <w:tcW w:w="5066" w:type="dxa"/>
          </w:tcPr>
          <w:p w:rsidR="008412B8" w:rsidRPr="00B42730" w:rsidRDefault="008412B8" w:rsidP="008412B8">
            <w:pPr>
              <w:rPr>
                <w:lang w:val="fr-FR"/>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L'obligation du contrôle visuel avant chaque utilisation est reprise dans les instructions de (dé)chargement.</w:t>
            </w:r>
          </w:p>
        </w:tc>
        <w:tc>
          <w:tcPr>
            <w:tcW w:w="5066" w:type="dxa"/>
          </w:tcPr>
          <w:p w:rsidR="008412B8" w:rsidRPr="008412B8" w:rsidRDefault="008412B8" w:rsidP="008412B8">
            <w:pPr>
              <w:rPr>
                <w:lang w:val="fr-BE"/>
              </w:rPr>
            </w:pPr>
          </w:p>
        </w:tc>
      </w:tr>
      <w:tr w:rsidR="008412B8" w:rsidRPr="008412B8" w:rsidTr="00A40138">
        <w:tc>
          <w:tcPr>
            <w:tcW w:w="8505" w:type="dxa"/>
          </w:tcPr>
          <w:p w:rsidR="008412B8" w:rsidRPr="008412B8" w:rsidRDefault="008412B8" w:rsidP="008412B8">
            <w:pPr>
              <w:pStyle w:val="Mesure"/>
            </w:pPr>
            <w:r w:rsidRPr="008412B8">
              <w:t>Inspection visuelle périodique</w:t>
            </w:r>
          </w:p>
        </w:tc>
        <w:tc>
          <w:tcPr>
            <w:tcW w:w="5066" w:type="dxa"/>
          </w:tcPr>
          <w:p w:rsidR="008412B8" w:rsidRPr="008412B8" w:rsidRDefault="008412B8" w:rsidP="008412B8"/>
        </w:tc>
      </w:tr>
      <w:tr w:rsidR="008412B8" w:rsidRPr="008412B8" w:rsidTr="00A40138">
        <w:tc>
          <w:tcPr>
            <w:tcW w:w="8505" w:type="dxa"/>
          </w:tcPr>
          <w:p w:rsidR="008412B8" w:rsidRPr="008412B8" w:rsidRDefault="008412B8" w:rsidP="008412B8">
            <w:pPr>
              <w:pStyle w:val="Toelichtingvraag"/>
              <w:ind w:left="0"/>
            </w:pPr>
            <w:r w:rsidRPr="008412B8">
              <w:t>Des points d’attention sont:</w:t>
            </w:r>
          </w:p>
        </w:tc>
        <w:tc>
          <w:tcPr>
            <w:tcW w:w="5066" w:type="dxa"/>
          </w:tcPr>
          <w:p w:rsidR="008412B8" w:rsidRPr="008412B8" w:rsidRDefault="008412B8" w:rsidP="008412B8"/>
        </w:tc>
      </w:tr>
      <w:tr w:rsidR="008412B8" w:rsidRPr="00B42730" w:rsidTr="00A40138">
        <w:tc>
          <w:tcPr>
            <w:tcW w:w="8505" w:type="dxa"/>
          </w:tcPr>
          <w:p w:rsidR="008412B8" w:rsidRPr="008412B8" w:rsidRDefault="008412B8" w:rsidP="008412B8">
            <w:pPr>
              <w:pStyle w:val="toelichtingvraaginsprong1"/>
            </w:pPr>
            <w:r w:rsidRPr="008412B8">
              <w:t>des irrégularités du diamètre extérieur, par exemple, un vrillage</w:t>
            </w:r>
          </w:p>
        </w:tc>
        <w:tc>
          <w:tcPr>
            <w:tcW w:w="5066" w:type="dxa"/>
          </w:tcPr>
          <w:p w:rsidR="008412B8" w:rsidRPr="00B42730" w:rsidRDefault="008412B8" w:rsidP="008412B8">
            <w:pPr>
              <w:rPr>
                <w:lang w:val="fr-FR"/>
              </w:rPr>
            </w:pPr>
          </w:p>
        </w:tc>
      </w:tr>
      <w:tr w:rsidR="008412B8" w:rsidRPr="00B42730" w:rsidTr="00A40138">
        <w:tc>
          <w:tcPr>
            <w:tcW w:w="8505" w:type="dxa"/>
          </w:tcPr>
          <w:p w:rsidR="008412B8" w:rsidRPr="008412B8" w:rsidRDefault="008412B8" w:rsidP="008412B8">
            <w:pPr>
              <w:pStyle w:val="toelichtingvraaginsprong1"/>
            </w:pPr>
            <w:r w:rsidRPr="008412B8">
              <w:lastRenderedPageBreak/>
              <w:t>des renforcements endommagés ou apparents ou une déformation permanente de l'enveloppe du tuyau</w:t>
            </w:r>
          </w:p>
        </w:tc>
        <w:tc>
          <w:tcPr>
            <w:tcW w:w="5066" w:type="dxa"/>
          </w:tcPr>
          <w:p w:rsidR="008412B8" w:rsidRPr="00B42730" w:rsidRDefault="008412B8" w:rsidP="008412B8">
            <w:pPr>
              <w:rPr>
                <w:lang w:val="fr-FR"/>
              </w:rPr>
            </w:pPr>
          </w:p>
        </w:tc>
      </w:tr>
      <w:tr w:rsidR="008412B8" w:rsidRPr="00B42730" w:rsidTr="00A40138">
        <w:tc>
          <w:tcPr>
            <w:tcW w:w="8505" w:type="dxa"/>
          </w:tcPr>
          <w:p w:rsidR="008412B8" w:rsidRPr="008412B8" w:rsidRDefault="008412B8" w:rsidP="008412B8">
            <w:pPr>
              <w:pStyle w:val="toelichtingvraaginsprong1"/>
            </w:pPr>
            <w:r w:rsidRPr="008412B8">
              <w:t>des signes de dommages des raccords aux extrémités, un desserrage ou un mauvais alignement.</w:t>
            </w:r>
          </w:p>
        </w:tc>
        <w:tc>
          <w:tcPr>
            <w:tcW w:w="5066" w:type="dxa"/>
          </w:tcPr>
          <w:p w:rsidR="008412B8" w:rsidRPr="00B42730" w:rsidRDefault="008412B8" w:rsidP="008412B8">
            <w:pPr>
              <w:rPr>
                <w:lang w:val="fr-FR"/>
              </w:rPr>
            </w:pPr>
          </w:p>
        </w:tc>
      </w:tr>
      <w:tr w:rsidR="008412B8" w:rsidRPr="008412B8" w:rsidTr="00A40138">
        <w:tc>
          <w:tcPr>
            <w:tcW w:w="8505" w:type="dxa"/>
          </w:tcPr>
          <w:p w:rsidR="008412B8" w:rsidRPr="008412B8" w:rsidRDefault="008412B8" w:rsidP="008412B8">
            <w:pPr>
              <w:pStyle w:val="Toelichtingvraag"/>
              <w:ind w:left="0"/>
            </w:pPr>
            <w:r w:rsidRPr="008412B8">
              <w:t>[31]</w:t>
            </w:r>
          </w:p>
        </w:tc>
        <w:tc>
          <w:tcPr>
            <w:tcW w:w="5066" w:type="dxa"/>
          </w:tcPr>
          <w:p w:rsidR="008412B8" w:rsidRPr="008412B8" w:rsidRDefault="008412B8" w:rsidP="008412B8"/>
        </w:tc>
      </w:tr>
      <w:tr w:rsidR="008412B8" w:rsidRPr="00B42730" w:rsidTr="00A40138">
        <w:tc>
          <w:tcPr>
            <w:tcW w:w="8505" w:type="dxa"/>
          </w:tcPr>
          <w:p w:rsidR="008412B8" w:rsidRPr="008412B8" w:rsidRDefault="008412B8" w:rsidP="008412B8">
            <w:pPr>
              <w:pStyle w:val="Mesure"/>
            </w:pPr>
            <w:r w:rsidRPr="008412B8">
              <w:t>Des tests hydrauliques périodiques des flexibles</w:t>
            </w:r>
          </w:p>
        </w:tc>
        <w:tc>
          <w:tcPr>
            <w:tcW w:w="5066" w:type="dxa"/>
          </w:tcPr>
          <w:p w:rsidR="008412B8" w:rsidRPr="00B42730" w:rsidRDefault="008412B8" w:rsidP="008412B8">
            <w:pPr>
              <w:rPr>
                <w:lang w:val="fr-FR"/>
              </w:rPr>
            </w:pPr>
          </w:p>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Les tests de pression ont lieu au moins à la pression nominale de fonctionnement des flexibles. Les tests de pression hydrauliques ont lieu selon les directives du fabricant. Ces directives sont (normalement) reprises dans la notice que le fabricant doit livrer avec un flexible. La fréquence habituelle pour le test des flexibles est d’une fois par an.</w:t>
            </w:r>
          </w:p>
        </w:tc>
        <w:tc>
          <w:tcPr>
            <w:tcW w:w="5066" w:type="dxa"/>
          </w:tcPr>
          <w:p w:rsidR="008412B8" w:rsidRPr="008412B8" w:rsidRDefault="008412B8" w:rsidP="008412B8">
            <w:pPr>
              <w:rPr>
                <w:lang w:val="fr-BE"/>
              </w:rPr>
            </w:pPr>
          </w:p>
        </w:tc>
      </w:tr>
      <w:tr w:rsidR="008412B8" w:rsidRPr="008412B8" w:rsidTr="00A40138">
        <w:tc>
          <w:tcPr>
            <w:tcW w:w="8505" w:type="dxa"/>
          </w:tcPr>
          <w:p w:rsidR="008412B8" w:rsidRPr="008412B8" w:rsidRDefault="008412B8" w:rsidP="008412B8">
            <w:pPr>
              <w:pStyle w:val="Toelichtingvraag"/>
              <w:ind w:left="0"/>
              <w:rPr>
                <w:lang w:val="fr-BE"/>
              </w:rPr>
            </w:pPr>
            <w:r w:rsidRPr="008412B8">
              <w:rPr>
                <w:lang w:val="fr-BE"/>
              </w:rPr>
              <w:t>Une alternative pour les tests hydrauliques est un programme de remplacement préventif des flexibles. L’inspection des flexibles comprend aussi le contrôle de la conductivité</w:t>
            </w:r>
            <w:r w:rsidRPr="008412B8">
              <w:rPr>
                <w:rFonts w:cs="TTE1404D78t00"/>
                <w:lang w:val="fr-BE"/>
              </w:rPr>
              <w:t xml:space="preserve">. </w:t>
            </w:r>
            <w:r w:rsidRPr="008412B8">
              <w:rPr>
                <w:lang w:val="fr-BE"/>
              </w:rPr>
              <w:t>Des attestations relatives à l'exécution des inspections sont présentes.</w:t>
            </w:r>
          </w:p>
        </w:tc>
        <w:tc>
          <w:tcPr>
            <w:tcW w:w="5066" w:type="dxa"/>
          </w:tcPr>
          <w:p w:rsidR="008412B8" w:rsidRPr="008412B8" w:rsidRDefault="008412B8" w:rsidP="008412B8">
            <w:pPr>
              <w:rPr>
                <w:lang w:val="fr-BE"/>
              </w:rPr>
            </w:pPr>
          </w:p>
        </w:tc>
      </w:tr>
      <w:tr w:rsidR="008412B8" w:rsidRPr="008412B8" w:rsidTr="00A40138">
        <w:tc>
          <w:tcPr>
            <w:tcW w:w="8505" w:type="dxa"/>
          </w:tcPr>
          <w:p w:rsidR="008412B8" w:rsidRPr="008412B8" w:rsidRDefault="008412B8" w:rsidP="008412B8">
            <w:pPr>
              <w:pStyle w:val="Toelichtingvraag"/>
              <w:ind w:left="0"/>
              <w:rPr>
                <w:rFonts w:ascii="TTE1404D78t00" w:hAnsi="TTE1404D78t00" w:cs="TTE1404D78t00"/>
                <w:lang w:val="fr-FR"/>
              </w:rPr>
            </w:pPr>
            <w:r w:rsidRPr="008412B8">
              <w:rPr>
                <w:lang w:val="fr-BE"/>
              </w:rPr>
              <w:t>Si l'on utilise les flexibles d'un tiers, des accords sont convenus avec le tiers pour que les attestations des inspections les plus récentes soient toujours à disposition. Des contrôles par sondage ont lieu sur ces documents</w:t>
            </w:r>
            <w:r w:rsidRPr="008412B8">
              <w:rPr>
                <w:rFonts w:cs="TTE1404D78t00"/>
                <w:lang w:val="fr-BE"/>
              </w:rPr>
              <w:t>.</w:t>
            </w:r>
          </w:p>
        </w:tc>
        <w:tc>
          <w:tcPr>
            <w:tcW w:w="5066" w:type="dxa"/>
          </w:tcPr>
          <w:p w:rsidR="008412B8" w:rsidRPr="008412B8" w:rsidRDefault="008412B8" w:rsidP="008412B8">
            <w:pPr>
              <w:rPr>
                <w:lang w:val="fr-BE"/>
              </w:rPr>
            </w:pPr>
          </w:p>
        </w:tc>
      </w:tr>
      <w:tr w:rsidR="008412B8" w:rsidRPr="008412B8" w:rsidTr="00A40138">
        <w:tc>
          <w:tcPr>
            <w:tcW w:w="8505" w:type="dxa"/>
          </w:tcPr>
          <w:p w:rsidR="008412B8" w:rsidRPr="008412B8" w:rsidRDefault="008412B8" w:rsidP="008412B8">
            <w:pPr>
              <w:pStyle w:val="Mesure"/>
            </w:pPr>
            <w:r w:rsidRPr="008412B8">
              <w:t>Programme de remplacement préventif</w:t>
            </w:r>
          </w:p>
        </w:tc>
        <w:tc>
          <w:tcPr>
            <w:tcW w:w="5066" w:type="dxa"/>
          </w:tcPr>
          <w:p w:rsidR="008412B8" w:rsidRPr="008412B8" w:rsidRDefault="008412B8" w:rsidP="008412B8"/>
        </w:tc>
      </w:tr>
      <w:tr w:rsidR="008412B8" w:rsidRPr="00B42730" w:rsidTr="00A40138">
        <w:tc>
          <w:tcPr>
            <w:tcW w:w="8505" w:type="dxa"/>
          </w:tcPr>
          <w:p w:rsidR="008412B8" w:rsidRPr="008412B8" w:rsidRDefault="008412B8" w:rsidP="008412B8">
            <w:pPr>
              <w:pStyle w:val="Toelichtingvraag"/>
              <w:ind w:left="0"/>
              <w:rPr>
                <w:lang w:val="fr-BE"/>
              </w:rPr>
            </w:pPr>
            <w:r w:rsidRPr="008412B8">
              <w:rPr>
                <w:lang w:val="fr-BE"/>
              </w:rPr>
              <w:t>Il existe un programme de remplacement pour les flexibles (en fonction de leur usage et des prescriptions du fabricant). Une mesure alternative pour un programme de remplacement préventif est un programme des tests hydrauliques.</w:t>
            </w:r>
          </w:p>
        </w:tc>
        <w:tc>
          <w:tcPr>
            <w:tcW w:w="5066" w:type="dxa"/>
          </w:tcPr>
          <w:p w:rsidR="008412B8" w:rsidRPr="008412B8" w:rsidRDefault="008412B8" w:rsidP="008412B8">
            <w:pPr>
              <w:rPr>
                <w:lang w:val="fr-BE"/>
              </w:rPr>
            </w:pPr>
          </w:p>
        </w:tc>
      </w:tr>
    </w:tbl>
    <w:p w:rsidR="00164841" w:rsidRPr="00C05350" w:rsidRDefault="00164841" w:rsidP="00164841">
      <w:pPr>
        <w:rPr>
          <w:lang w:val="fr-BE"/>
        </w:rPr>
      </w:pPr>
    </w:p>
    <w:p w:rsidR="00164841" w:rsidRDefault="00164841">
      <w:pPr>
        <w:jc w:val="left"/>
        <w:rPr>
          <w:lang w:val="fr-BE"/>
        </w:rPr>
      </w:pPr>
      <w:r w:rsidRPr="00C05350">
        <w:rPr>
          <w:lang w:val="fr-BE"/>
        </w:rPr>
        <w:br w:type="page"/>
      </w:r>
    </w:p>
    <w:p w:rsidR="005A6F16" w:rsidRDefault="005A6F16" w:rsidP="005A6F16">
      <w:pPr>
        <w:rPr>
          <w:lang w:val="fr-BE"/>
        </w:rPr>
      </w:pPr>
    </w:p>
    <w:p w:rsidR="00E153B2" w:rsidRPr="0052522C" w:rsidRDefault="00E153B2" w:rsidP="00A70AF4">
      <w:pPr>
        <w:pStyle w:val="Kop2"/>
      </w:pPr>
      <w:bookmarkStart w:id="20" w:name="_Toc496177869"/>
      <w:r w:rsidRPr="0052522C">
        <w:t>Limitation de libérations accidentelles</w:t>
      </w:r>
      <w:bookmarkEnd w:id="20"/>
    </w:p>
    <w:tbl>
      <w:tblPr>
        <w:tblStyle w:val="Tabelraster"/>
        <w:tblW w:w="0" w:type="auto"/>
        <w:tblInd w:w="562" w:type="dxa"/>
        <w:tblLook w:val="04A0" w:firstRow="1" w:lastRow="0" w:firstColumn="1" w:lastColumn="0" w:noHBand="0" w:noVBand="1"/>
      </w:tblPr>
      <w:tblGrid>
        <w:gridCol w:w="8505"/>
        <w:gridCol w:w="4925"/>
      </w:tblGrid>
      <w:tr w:rsidR="00957536" w:rsidRPr="00B42730" w:rsidTr="00957536">
        <w:tc>
          <w:tcPr>
            <w:tcW w:w="8505" w:type="dxa"/>
          </w:tcPr>
          <w:p w:rsidR="00957536" w:rsidRPr="00957536" w:rsidRDefault="00957536" w:rsidP="00A66DE9">
            <w:pPr>
              <w:pStyle w:val="Kop3"/>
            </w:pPr>
            <w:r w:rsidRPr="00957536">
              <w:t>Ecoulement du contenu d’un camion-citerne lors d’une fuite pendant le (dé)chargement</w:t>
            </w:r>
          </w:p>
        </w:tc>
        <w:tc>
          <w:tcPr>
            <w:tcW w:w="4925" w:type="dxa"/>
          </w:tcPr>
          <w:p w:rsidR="00957536" w:rsidRPr="00957536" w:rsidRDefault="00957536" w:rsidP="00957536">
            <w:pPr>
              <w:rPr>
                <w:lang w:val="fr-BE"/>
              </w:rPr>
            </w:pPr>
          </w:p>
        </w:tc>
      </w:tr>
      <w:tr w:rsidR="00957536" w:rsidRPr="00957536" w:rsidTr="00957536">
        <w:tc>
          <w:tcPr>
            <w:tcW w:w="8505" w:type="dxa"/>
          </w:tcPr>
          <w:p w:rsidR="00957536" w:rsidRPr="00957536" w:rsidRDefault="00957536" w:rsidP="00A66DE9">
            <w:pPr>
              <w:pStyle w:val="Mesure"/>
              <w:rPr>
                <w:szCs w:val="20"/>
              </w:rPr>
            </w:pPr>
            <w:r w:rsidRPr="00957536">
              <w:t>Surveillance permanente sur place</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Toelichtingvraag"/>
              <w:ind w:left="0"/>
              <w:rPr>
                <w:rFonts w:ascii="TTE1776740t00" w:hAnsi="TTE1776740t00" w:cs="TTE1776740t00"/>
                <w:lang w:val="fr-BE"/>
              </w:rPr>
            </w:pPr>
            <w:r w:rsidRPr="00957536">
              <w:rPr>
                <w:lang w:val="fr-BE"/>
              </w:rPr>
              <w:t>Pendant le (dé)chargement, quelqu’un reste présent au poste de (dé)chargement. Cette personne est capable d’intervenir en cas d’incident (en activant un arrêt d’urgence, en déclenchant l’alarme par ex.). Pour ce faire, il a reçu les explications nécessaires et il connaît l’installation.</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Mesure"/>
              <w:rPr>
                <w:szCs w:val="20"/>
              </w:rPr>
            </w:pPr>
            <w:r w:rsidRPr="00957536">
              <w:t>Arrêt d'urgence pour le (dé)chargement de camion-citerne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En cas d'activation d'un bouton d'arrêt d'urgence du poste de (dé)chargement</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pPr>
            <w:r w:rsidRPr="00957536">
              <w:t xml:space="preserve">l’installation fixe est verouillée à l’aide d’une vanne commandée à distance, située à proximité de la connexion du flexible ou du bras de (dé)chargement avec l’installation fixe </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t xml:space="preserve">le camion-citerne est isolé </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2"/>
            </w:pPr>
            <w:r w:rsidRPr="00957536">
              <w:t xml:space="preserve">via la vanne de fond du camion-citerne </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2"/>
            </w:pPr>
            <w:r w:rsidRPr="00957536">
              <w:t xml:space="preserve">ou via une vanne commandée à distance qui est placée sur le flexible ou le bras de chargement à proximité de la connexion avec le camion-citerne. </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t>la pompe est arrêtée (du camion-citerne ou de l’installation fixe)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lastRenderedPageBreak/>
              <w:t>un signal d'alarme est donné vers un poste occupé (un endroit où une personne pouvant intervenir est présente en permanence (ex: salle de contrôle); la réponse adaptée est reprise dans une instruction.</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La fermeture de la vanne de fond sur le camion-citerne et l’arrêt de la pompe du camion-citerne, si celle-ci est alimentée par le moteur du camion-citerne, via l’arrêt d’urgence de l’installation supposent une liaison de cet arrêt d’urgence avec l’arrêt d’urgence du camion-citerne.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 xml:space="preserve">Une telle liaison est décrite dans la note d’information ‘Liaison entre les systèmes d’arrêt d’urgence du camion-citerne et de l’installation pour le déchargement de grandes quantités de LPG dans des entreprises SEVESO’ (CRC/IN/018-N). Dans celle-ci, cette liaison est demandée dans les cas où de grandes quantités de LPG sont (dé)chargées et lorsque la pompe du camion-citerne est alimentée par le moteur du camion-citerne. </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La liaison entre les deux arrêts d’urgence via un système de prise est bien sûr aussi utile dans d’autres situations, telles que le chargement de camions-citernes, le déchargement de camions-citernes via la pompe de l’entreprise, le déchargement de camions-citernes en mettant sous pression la phase gazeuse, le déchargement avec la pompe électrique du camion-citerne dans le cas où celle-ci est alimentée par le courant électrique de l’entreprise.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Localisation des boutons d'arrêt d'urgence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insprong2bolleke"/>
            </w:pPr>
            <w:r w:rsidRPr="00957536">
              <w:t>Les boutons d'arrêt d'urgence sont disposés stratégiquement à proximité des voies d'évacuation du poste de (dé)chargement.</w:t>
            </w:r>
          </w:p>
        </w:tc>
        <w:tc>
          <w:tcPr>
            <w:tcW w:w="4925" w:type="dxa"/>
          </w:tcPr>
          <w:p w:rsidR="00957536" w:rsidRPr="00957536" w:rsidRDefault="00957536" w:rsidP="00957536">
            <w:pPr>
              <w:rPr>
                <w:lang w:val="fr-FR"/>
              </w:rPr>
            </w:pPr>
          </w:p>
        </w:tc>
      </w:tr>
      <w:tr w:rsidR="00957536" w:rsidRPr="00957536" w:rsidTr="00957536">
        <w:tc>
          <w:tcPr>
            <w:tcW w:w="8505" w:type="dxa"/>
          </w:tcPr>
          <w:p w:rsidR="00957536" w:rsidRPr="00957536" w:rsidRDefault="00957536" w:rsidP="00A66DE9">
            <w:pPr>
              <w:pStyle w:val="Toelichtingvraag"/>
              <w:ind w:left="0"/>
              <w:rPr>
                <w:lang w:val="fr-BE"/>
              </w:rPr>
            </w:pPr>
            <w:r w:rsidRPr="00957536">
              <w:rPr>
                <w:lang w:val="fr-BE"/>
              </w:rPr>
              <w:t>Inspection</w:t>
            </w:r>
          </w:p>
        </w:tc>
        <w:tc>
          <w:tcPr>
            <w:tcW w:w="4925" w:type="dxa"/>
          </w:tcPr>
          <w:p w:rsidR="00957536" w:rsidRPr="00957536" w:rsidRDefault="00957536" w:rsidP="00957536">
            <w:pPr>
              <w:rPr>
                <w:lang w:val="fr-BE"/>
              </w:rPr>
            </w:pPr>
          </w:p>
        </w:tc>
      </w:tr>
      <w:tr w:rsidR="00957536" w:rsidRPr="00957536" w:rsidTr="00957536">
        <w:tc>
          <w:tcPr>
            <w:tcW w:w="8505" w:type="dxa"/>
          </w:tcPr>
          <w:p w:rsidR="00957536" w:rsidRPr="00957536" w:rsidRDefault="00957536" w:rsidP="00A66DE9">
            <w:pPr>
              <w:pStyle w:val="insprong2bolleke"/>
            </w:pPr>
            <w:r w:rsidRPr="00957536">
              <w:t>Le bon fonctionnement des boutons d'arrêt d’urgence est contrôlé périodiquement. Ce contrôle est enregistré.</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Mesure"/>
            </w:pPr>
            <w:r w:rsidRPr="00957536">
              <w:t>Détection de gaz pour le (dé)chargement de camions-citernes</w:t>
            </w:r>
          </w:p>
        </w:tc>
        <w:tc>
          <w:tcPr>
            <w:tcW w:w="4925" w:type="dxa"/>
          </w:tcPr>
          <w:p w:rsidR="00957536" w:rsidRPr="00957536" w:rsidRDefault="00957536" w:rsidP="00957536">
            <w:pPr>
              <w:rPr>
                <w:lang w:val="fr-FR"/>
              </w:rPr>
            </w:pPr>
          </w:p>
        </w:tc>
      </w:tr>
      <w:tr w:rsidR="00957536" w:rsidRPr="00957536" w:rsidTr="00957536">
        <w:tc>
          <w:tcPr>
            <w:tcW w:w="8505" w:type="dxa"/>
          </w:tcPr>
          <w:p w:rsidR="00957536" w:rsidRPr="00957536" w:rsidRDefault="00957536" w:rsidP="00A66DE9">
            <w:pPr>
              <w:pStyle w:val="Toelichtingvraag"/>
              <w:ind w:left="0"/>
            </w:pPr>
            <w:r w:rsidRPr="00957536">
              <w:t>Actions</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toelichtingvraaginsprong1"/>
              <w:numPr>
                <w:ilvl w:val="0"/>
                <w:numId w:val="31"/>
              </w:numPr>
            </w:pPr>
            <w:r w:rsidRPr="00957536">
              <w:t>Déclenchement d’une alarme à un endroit occupé de façon permanente (valeur indicative pour le réglage de l’alarme: 20 à 25% de la LIE).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numPr>
                <w:ilvl w:val="0"/>
                <w:numId w:val="31"/>
              </w:numPr>
            </w:pPr>
            <w:r w:rsidRPr="00957536">
              <w:lastRenderedPageBreak/>
              <w:t>Arrêt des pompes et/ou les compresseurs et fermeture automatique des vannes d'arrêt (valeur indicative 20 à 40% de la LIE).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Localisation des points de mesure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numPr>
                <w:ilvl w:val="0"/>
                <w:numId w:val="31"/>
              </w:numPr>
              <w:rPr>
                <w:b/>
                <w:lang w:val="fr-BE"/>
              </w:rPr>
            </w:pPr>
            <w:r w:rsidRPr="00957536">
              <w:rPr>
                <w:lang w:val="fr-BE"/>
              </w:rPr>
              <w:t>A des endroits stratégiques sur le poste de (dé)chargement: à hauteur de points de fuite possibles (par exemple des pompes, des compresseurs, les connections des bras de (dé)chargement ou des flexibles) et aux endroits où des gaz peuvent s’accumuler (par exemple des caniveaux et des puits de recueil).</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numPr>
                <w:ilvl w:val="0"/>
                <w:numId w:val="31"/>
              </w:numPr>
              <w:rPr>
                <w:b/>
                <w:lang w:val="fr-BE"/>
              </w:rPr>
            </w:pPr>
            <w:r w:rsidRPr="00957536">
              <w:rPr>
                <w:rStyle w:val="toelichtingvraaginsprong1Char"/>
              </w:rPr>
              <w:t>Position en hauteur</w:t>
            </w:r>
            <w:r w:rsidRPr="00957536">
              <w:rPr>
                <w:lang w:val="fr-BE"/>
              </w:rPr>
              <w:t xml:space="preserve"> des têtes de détection en fonction de la densité du gaz.</w:t>
            </w:r>
          </w:p>
        </w:tc>
        <w:tc>
          <w:tcPr>
            <w:tcW w:w="4925" w:type="dxa"/>
          </w:tcPr>
          <w:p w:rsidR="00957536" w:rsidRPr="00957536" w:rsidRDefault="00957536" w:rsidP="00957536">
            <w:pPr>
              <w:rPr>
                <w:rStyle w:val="toelichtingvraaginsprong1Char"/>
              </w:rPr>
            </w:pPr>
          </w:p>
        </w:tc>
      </w:tr>
      <w:tr w:rsidR="00957536" w:rsidRPr="00957536" w:rsidTr="00957536">
        <w:tc>
          <w:tcPr>
            <w:tcW w:w="8505" w:type="dxa"/>
          </w:tcPr>
          <w:p w:rsidR="00957536" w:rsidRPr="00957536" w:rsidRDefault="00957536" w:rsidP="00A66DE9">
            <w:pPr>
              <w:pStyle w:val="Toelichtingvraag"/>
              <w:ind w:left="0"/>
              <w:rPr>
                <w:lang w:val="fr-BE"/>
              </w:rPr>
            </w:pPr>
            <w:r w:rsidRPr="00957536">
              <w:rPr>
                <w:lang w:val="fr-BE"/>
              </w:rPr>
              <w:t>Inspection et maintenance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numPr>
                <w:ilvl w:val="0"/>
                <w:numId w:val="31"/>
              </w:numPr>
              <w:rPr>
                <w:b/>
              </w:rPr>
            </w:pPr>
            <w:r w:rsidRPr="00957536">
              <w:t>Calibrage périodique des sondes de mesure. La périodicité est déterminée en tenant compte des prescriptions du fabriquant et des expériences des inspections, mais ne dépasse pas un an, conformément l’article III.3.22 du Code sur le bien-être au travail.</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numPr>
                <w:ilvl w:val="0"/>
                <w:numId w:val="31"/>
              </w:numPr>
              <w:rPr>
                <w:b/>
                <w:lang w:val="fr-BE"/>
              </w:rPr>
            </w:pPr>
            <w:r w:rsidRPr="00957536">
              <w:rPr>
                <w:lang w:val="fr-BE"/>
              </w:rPr>
              <w:t>Test périodique des actions liées à la détection de gaz (fréquence indicative: annuel).</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Maatregel"/>
              <w:numPr>
                <w:ilvl w:val="0"/>
                <w:numId w:val="2"/>
              </w:numPr>
              <w:tabs>
                <w:tab w:val="clear" w:pos="3686"/>
                <w:tab w:val="num" w:pos="567"/>
              </w:tabs>
              <w:ind w:left="567"/>
              <w:rPr>
                <w:lang w:val="fr-BE"/>
              </w:rPr>
            </w:pPr>
            <w:r w:rsidRPr="00957536">
              <w:rPr>
                <w:lang w:val="fr-BE"/>
              </w:rPr>
              <w:t>Liaisons breakaway ou système de déconnexion d’urgence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 xml:space="preserve">Avec des liaisons breakaway, la liaison des deux parties est rompue sous l’influence des forces qui sont exercées sur celle-ci. Le décollement des deux parties entraîne la fermeture de la vanne dans chacune des parties de la liaison. </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Dans des systèmes de déconnexion d’urgence, les deux parties sont maintenues ensemble par une broche (ou une pince), qui peut être détachée à distance (via un câble ou un système pneumatique). Certains systèmes de déconnexion d’urgence fonctionnent aussi comme une liaison breakaway.</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Kop3"/>
            </w:pPr>
            <w:r w:rsidRPr="00957536">
              <w:lastRenderedPageBreak/>
              <w:t>Ecoulement du contenu d’un wagon-citerne lors d’une fuite pendant le (dé)chargement</w:t>
            </w:r>
          </w:p>
        </w:tc>
        <w:tc>
          <w:tcPr>
            <w:tcW w:w="4925" w:type="dxa"/>
          </w:tcPr>
          <w:p w:rsidR="00957536" w:rsidRPr="00957536" w:rsidRDefault="00957536" w:rsidP="00957536">
            <w:pPr>
              <w:rPr>
                <w:lang w:val="fr-FR"/>
              </w:rPr>
            </w:pPr>
          </w:p>
        </w:tc>
      </w:tr>
      <w:tr w:rsidR="00957536" w:rsidRPr="00957536" w:rsidTr="00957536">
        <w:tc>
          <w:tcPr>
            <w:tcW w:w="8505" w:type="dxa"/>
          </w:tcPr>
          <w:p w:rsidR="00957536" w:rsidRPr="00957536" w:rsidRDefault="00957536" w:rsidP="00A66DE9">
            <w:pPr>
              <w:pStyle w:val="Mesure"/>
              <w:rPr>
                <w:szCs w:val="20"/>
              </w:rPr>
            </w:pPr>
            <w:r w:rsidRPr="00957536">
              <w:t>Surveillance permanente sur place</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Pendant le (dé)chargement, quelqu’un reste présent au poste de (dé)chargement. Cette personne est capable d’intervenir en cas d’incident (en activant un arrêt d’urgence, en déclenchant l’alarme par ex.). Pour ce faire, il a reçu les explications nécessaires et il connaît l’installation.</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Mesure"/>
            </w:pPr>
            <w:r w:rsidRPr="00957536">
              <w:t>Ridoir pour le (dé)chargement en wagon citerne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 xml:space="preserve">Les vannes de fond (aussi bien pour la connexion liquide que pour la connexion vapeur) du wagon-citerne sont maintenues ouvertes par un tendeur pneumatique. Le tendeur maintient les vannes de fond du wagon ouvertes à l’aide de la pression d’air ou d’azote. </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L’activation de l’arrêt d’urgence fait tomber la pression d’air comprimé de sorte que le tendeur se relâche et les vannes de fond se ferment.</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Le tendeur va également sauter en cas de mouvement du wagon, de sorte que les vannes de fermeture dans les tuyauteries de liquide et de vapeur se fermeront.</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Le Règlement concernant le transport international ferroviaire des marchandises dangereuses stipule au chapitre 6.8, point 6.8.3.2.3 :</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pPr>
            <w:r w:rsidRPr="00957536">
              <w:t>L’obturateur interne de toutes les ouvertures de remplissage et de toutes les ouvertures de vidange des citernes d'une capacité supérieure à 1 m³ et destinées au transport des gaz liquéfiés inflammables ou toxiques doit être à fermeture instantanée et doit se fermer automatiquement en cas de déplacement intempestif de la citerne ou d’incendie L’obturateur interne doit aussi pouvoir être déclenché à distance. Le dispositif qui maintient ouverte la fermeture interne, par exemple un crochet monté sur rail, ne fait pas partie intégrante du wagon.</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Mesure"/>
              <w:rPr>
                <w:szCs w:val="20"/>
              </w:rPr>
            </w:pPr>
            <w:r w:rsidRPr="00957536">
              <w:t>Arrêt d'urgence pour (dé)chargement du wagon-citerne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En cas d'activation d'un bouton d'arrêt d'urgence du poste de (dé)chargement:</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pPr>
            <w:r w:rsidRPr="00957536">
              <w:lastRenderedPageBreak/>
              <w:t>des vannes commandées à distance situées au niveau du poste de (dé)chargement se ferment</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t>la pression du tendeur pneumatique du ridoir est lâchée de sorte que les vannes de fond du wagon se ferment</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t>les pompes de (dé)chargement sont arrêtées automatiquement,</w:t>
            </w:r>
          </w:p>
        </w:tc>
        <w:tc>
          <w:tcPr>
            <w:tcW w:w="4925" w:type="dxa"/>
          </w:tcPr>
          <w:p w:rsidR="00957536" w:rsidRPr="00957536" w:rsidRDefault="00957536" w:rsidP="00957536">
            <w:pPr>
              <w:rPr>
                <w:lang w:val="fr-FR"/>
              </w:rPr>
            </w:pPr>
          </w:p>
        </w:tc>
      </w:tr>
      <w:tr w:rsidR="00957536" w:rsidRPr="00957536" w:rsidTr="00957536">
        <w:tc>
          <w:tcPr>
            <w:tcW w:w="8505" w:type="dxa"/>
          </w:tcPr>
          <w:p w:rsidR="00957536" w:rsidRPr="00957536" w:rsidRDefault="00957536" w:rsidP="00A66DE9">
            <w:pPr>
              <w:pStyle w:val="toelichtingvraaginsprong1"/>
            </w:pPr>
            <w:r w:rsidRPr="00957536">
              <w:t xml:space="preserve">un signal d'alarme est donné vers un poste occupé (un endroit où une personne pouvant intervenir est présente en permanence (ex: salle de contrôle). La réponse adaptée est reprise dans une instruction). </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Localisation des boutons d'arrêt d'urgence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pPr>
            <w:r w:rsidRPr="00957536">
              <w:t>Les boutons d'arrêt d'urgence sont disposés stratégiquement à proximité des voies d'évacuation du quai de (dé)chargement.</w:t>
            </w:r>
          </w:p>
        </w:tc>
        <w:tc>
          <w:tcPr>
            <w:tcW w:w="4925" w:type="dxa"/>
          </w:tcPr>
          <w:p w:rsidR="00957536" w:rsidRPr="00957536" w:rsidRDefault="00957536" w:rsidP="00957536">
            <w:pPr>
              <w:rPr>
                <w:lang w:val="fr-FR"/>
              </w:rPr>
            </w:pPr>
          </w:p>
        </w:tc>
      </w:tr>
      <w:tr w:rsidR="00957536" w:rsidRPr="00957536" w:rsidTr="00957536">
        <w:tc>
          <w:tcPr>
            <w:tcW w:w="8505" w:type="dxa"/>
          </w:tcPr>
          <w:p w:rsidR="00957536" w:rsidRPr="00957536" w:rsidRDefault="00957536" w:rsidP="00A66DE9">
            <w:pPr>
              <w:pStyle w:val="Toelichtingvraag"/>
              <w:ind w:left="0"/>
              <w:rPr>
                <w:lang w:val="fr-BE"/>
              </w:rPr>
            </w:pPr>
            <w:r w:rsidRPr="00957536">
              <w:rPr>
                <w:lang w:val="fr-BE"/>
              </w:rPr>
              <w:t>Inspection</w:t>
            </w:r>
          </w:p>
        </w:tc>
        <w:tc>
          <w:tcPr>
            <w:tcW w:w="4925" w:type="dxa"/>
          </w:tcPr>
          <w:p w:rsidR="00957536" w:rsidRPr="00957536" w:rsidRDefault="00957536" w:rsidP="00957536">
            <w:pPr>
              <w:rPr>
                <w:lang w:val="fr-BE"/>
              </w:rPr>
            </w:pPr>
          </w:p>
        </w:tc>
      </w:tr>
      <w:tr w:rsidR="00957536" w:rsidRPr="00957536" w:rsidTr="00957536">
        <w:tc>
          <w:tcPr>
            <w:tcW w:w="8505" w:type="dxa"/>
          </w:tcPr>
          <w:p w:rsidR="00957536" w:rsidRPr="00957536" w:rsidRDefault="00957536" w:rsidP="00A66DE9">
            <w:pPr>
              <w:pStyle w:val="toelichtingvraaginsprong1"/>
            </w:pPr>
            <w:r w:rsidRPr="00957536">
              <w:t>Le bon fonctionnement des boutons d'arrêt d’urgence est contrôlé périodiquement. Ce contrôle est enregistré.</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Maatregel"/>
              <w:numPr>
                <w:ilvl w:val="0"/>
                <w:numId w:val="2"/>
              </w:numPr>
              <w:tabs>
                <w:tab w:val="clear" w:pos="3686"/>
                <w:tab w:val="num" w:pos="567"/>
              </w:tabs>
              <w:ind w:left="567"/>
              <w:rPr>
                <w:lang w:val="fr-BE"/>
              </w:rPr>
            </w:pPr>
            <w:r w:rsidRPr="00957536">
              <w:rPr>
                <w:lang w:val="fr-BE"/>
              </w:rPr>
              <w:t>Détection de gaz pour le (dé)chargement de wagons-citernes</w:t>
            </w:r>
          </w:p>
        </w:tc>
        <w:tc>
          <w:tcPr>
            <w:tcW w:w="4925" w:type="dxa"/>
          </w:tcPr>
          <w:p w:rsidR="00957536" w:rsidRPr="00957536" w:rsidRDefault="00957536" w:rsidP="00957536">
            <w:pPr>
              <w:rPr>
                <w:lang w:val="fr-BE"/>
              </w:rPr>
            </w:pPr>
          </w:p>
        </w:tc>
      </w:tr>
      <w:tr w:rsidR="00957536" w:rsidRPr="00957536" w:rsidTr="00957536">
        <w:tc>
          <w:tcPr>
            <w:tcW w:w="8505" w:type="dxa"/>
          </w:tcPr>
          <w:p w:rsidR="00957536" w:rsidRPr="00957536" w:rsidRDefault="00957536" w:rsidP="00A66DE9">
            <w:pPr>
              <w:pStyle w:val="Toelichtingvraag"/>
              <w:ind w:left="0"/>
            </w:pPr>
            <w:r w:rsidRPr="00957536">
              <w:t>Actions</w:t>
            </w:r>
          </w:p>
        </w:tc>
        <w:tc>
          <w:tcPr>
            <w:tcW w:w="4925" w:type="dxa"/>
          </w:tcPr>
          <w:p w:rsidR="00957536" w:rsidRPr="00957536" w:rsidRDefault="00957536" w:rsidP="00957536"/>
        </w:tc>
      </w:tr>
      <w:tr w:rsidR="00957536" w:rsidRPr="00B42730" w:rsidTr="00957536">
        <w:tc>
          <w:tcPr>
            <w:tcW w:w="8505" w:type="dxa"/>
          </w:tcPr>
          <w:p w:rsidR="00957536" w:rsidRPr="00957536" w:rsidRDefault="00957536" w:rsidP="00A66DE9">
            <w:pPr>
              <w:pStyle w:val="toelichtingvraaginsprong1"/>
            </w:pPr>
            <w:r w:rsidRPr="00957536">
              <w:t>Alarme à un endroit occupé de façon permanente (valeur indicative pour le réglage de l’alarme: 20 à 25% de la LIE).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t>Arrêt des pompes et/ou les compresseurs et fermeture des vannes d'arrêt automatiques (valeur indicative 20 à 40% de la LIE)</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
              <w:ind w:left="0"/>
              <w:rPr>
                <w:lang w:val="fr-BE"/>
              </w:rPr>
            </w:pPr>
            <w:r w:rsidRPr="00957536">
              <w:rPr>
                <w:lang w:val="fr-BE"/>
              </w:rPr>
              <w:t>Localisation des points de mesure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rPr>
                <w:b/>
              </w:rPr>
            </w:pPr>
            <w:r w:rsidRPr="00957536">
              <w:t xml:space="preserve">A des endroits stratégiques sur le poste de (dé)chargement: à hauteur de points de fuite possibles (par exemple des pompes, des compresseurs, les connections des bras de (dé)chargement ou des </w:t>
            </w:r>
            <w:r w:rsidRPr="00957536">
              <w:lastRenderedPageBreak/>
              <w:t xml:space="preserve">flexibles) et aux endroits où des gaz peuvent s’accumuler (par exemple des caniveaux et des puits de recueil). </w:t>
            </w:r>
          </w:p>
        </w:tc>
        <w:tc>
          <w:tcPr>
            <w:tcW w:w="4925" w:type="dxa"/>
          </w:tcPr>
          <w:p w:rsidR="00957536" w:rsidRPr="00957536"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rPr>
                <w:b/>
              </w:rPr>
            </w:pPr>
            <w:r w:rsidRPr="00957536">
              <w:t>Position en hauteur des têtes de détection en fonction de la densité du gaz.</w:t>
            </w:r>
          </w:p>
        </w:tc>
        <w:tc>
          <w:tcPr>
            <w:tcW w:w="4925" w:type="dxa"/>
          </w:tcPr>
          <w:p w:rsidR="00957536" w:rsidRPr="00957536" w:rsidRDefault="00957536" w:rsidP="00957536">
            <w:pPr>
              <w:rPr>
                <w:lang w:val="fr-FR"/>
              </w:rPr>
            </w:pPr>
          </w:p>
        </w:tc>
      </w:tr>
      <w:tr w:rsidR="00957536" w:rsidRPr="00957536" w:rsidTr="00957536">
        <w:tc>
          <w:tcPr>
            <w:tcW w:w="8505" w:type="dxa"/>
          </w:tcPr>
          <w:p w:rsidR="00957536" w:rsidRPr="00957536" w:rsidRDefault="00957536" w:rsidP="00A66DE9">
            <w:pPr>
              <w:pStyle w:val="Toelichtingvraag"/>
              <w:ind w:left="0"/>
              <w:rPr>
                <w:lang w:val="fr-BE"/>
              </w:rPr>
            </w:pPr>
            <w:r w:rsidRPr="00957536">
              <w:rPr>
                <w:lang w:val="fr-BE"/>
              </w:rPr>
              <w:t>Inspection et maintenance</w:t>
            </w:r>
          </w:p>
        </w:tc>
        <w:tc>
          <w:tcPr>
            <w:tcW w:w="4925" w:type="dxa"/>
          </w:tcPr>
          <w:p w:rsidR="00957536" w:rsidRPr="00957536" w:rsidRDefault="00957536" w:rsidP="00957536">
            <w:pPr>
              <w:rPr>
                <w:lang w:val="fr-BE"/>
              </w:rPr>
            </w:pPr>
          </w:p>
        </w:tc>
      </w:tr>
      <w:tr w:rsidR="00957536" w:rsidRPr="00B42730" w:rsidTr="00957536">
        <w:tc>
          <w:tcPr>
            <w:tcW w:w="8505" w:type="dxa"/>
          </w:tcPr>
          <w:p w:rsidR="00957536" w:rsidRPr="00957536" w:rsidRDefault="00957536" w:rsidP="00A66DE9">
            <w:pPr>
              <w:pStyle w:val="toelichtingvraaginsprong1"/>
            </w:pPr>
            <w:r w:rsidRPr="00957536">
              <w:t>Calibrage périodique des sondes de mesure. La périodicité est déterminée en tenant compte des prescriptions du fabriquant et des expériences des inspections, mais ne dépasse pas un an, conformément l’article III.3.22 du Code sur le bien-être au travail.</w:t>
            </w:r>
          </w:p>
        </w:tc>
        <w:tc>
          <w:tcPr>
            <w:tcW w:w="4925" w:type="dxa"/>
          </w:tcPr>
          <w:p w:rsidR="00957536" w:rsidRPr="00B42730" w:rsidRDefault="00957536" w:rsidP="00957536">
            <w:pPr>
              <w:rPr>
                <w:lang w:val="fr-FR"/>
              </w:rPr>
            </w:pPr>
          </w:p>
        </w:tc>
      </w:tr>
      <w:tr w:rsidR="00957536" w:rsidRPr="00B42730" w:rsidTr="00957536">
        <w:tc>
          <w:tcPr>
            <w:tcW w:w="8505" w:type="dxa"/>
          </w:tcPr>
          <w:p w:rsidR="00957536" w:rsidRPr="00957536" w:rsidRDefault="00957536" w:rsidP="00A66DE9">
            <w:pPr>
              <w:pStyle w:val="toelichtingvraaginsprong1"/>
            </w:pPr>
            <w:r w:rsidRPr="00957536">
              <w:t>Test périodique des actions liées à la détection de gaz (fréquence indicative: annuel)</w:t>
            </w:r>
          </w:p>
        </w:tc>
        <w:tc>
          <w:tcPr>
            <w:tcW w:w="4925" w:type="dxa"/>
          </w:tcPr>
          <w:p w:rsidR="00957536" w:rsidRPr="00B42730" w:rsidRDefault="00957536" w:rsidP="00957536">
            <w:pPr>
              <w:rPr>
                <w:lang w:val="fr-FR"/>
              </w:rPr>
            </w:pPr>
          </w:p>
        </w:tc>
      </w:tr>
    </w:tbl>
    <w:p w:rsidR="002964F4" w:rsidRPr="00C05350" w:rsidRDefault="002964F4" w:rsidP="002964F4">
      <w:pPr>
        <w:rPr>
          <w:lang w:val="fr-BE"/>
        </w:rPr>
      </w:pPr>
    </w:p>
    <w:p w:rsidR="002964F4" w:rsidRDefault="002964F4" w:rsidP="002151E9">
      <w:pPr>
        <w:rPr>
          <w:lang w:val="fr-BE"/>
        </w:rPr>
      </w:pPr>
      <w:r w:rsidRPr="00C05350">
        <w:rPr>
          <w:lang w:val="fr-BE"/>
        </w:rPr>
        <w:br w:type="page"/>
      </w:r>
    </w:p>
    <w:p w:rsidR="005A6F16" w:rsidRDefault="005A6F16" w:rsidP="002151E9">
      <w:pPr>
        <w:rPr>
          <w:lang w:val="fr-BE"/>
        </w:rPr>
      </w:pPr>
    </w:p>
    <w:p w:rsidR="00645152" w:rsidRPr="0052522C" w:rsidRDefault="00645152" w:rsidP="00A70AF4">
      <w:pPr>
        <w:pStyle w:val="Kop2"/>
      </w:pPr>
      <w:bookmarkStart w:id="21" w:name="_Toc496177870"/>
      <w:r w:rsidRPr="0052522C">
        <w:t>Ma</w:t>
      </w:r>
      <w:r w:rsidR="000A3362">
        <w:t>î</w:t>
      </w:r>
      <w:r w:rsidRPr="0052522C">
        <w:t>trise de la dispersion de substances libérées</w:t>
      </w:r>
      <w:bookmarkEnd w:id="21"/>
    </w:p>
    <w:tbl>
      <w:tblPr>
        <w:tblStyle w:val="Tabelraster"/>
        <w:tblW w:w="0" w:type="auto"/>
        <w:tblInd w:w="562" w:type="dxa"/>
        <w:tblLook w:val="04A0" w:firstRow="1" w:lastRow="0" w:firstColumn="1" w:lastColumn="0" w:noHBand="0" w:noVBand="1"/>
      </w:tblPr>
      <w:tblGrid>
        <w:gridCol w:w="8505"/>
        <w:gridCol w:w="4925"/>
      </w:tblGrid>
      <w:tr w:rsidR="00CD056E" w:rsidRPr="00B42730" w:rsidTr="00CD056E">
        <w:tc>
          <w:tcPr>
            <w:tcW w:w="8505" w:type="dxa"/>
          </w:tcPr>
          <w:p w:rsidR="00CD056E" w:rsidRPr="00CD056E" w:rsidRDefault="00CD056E" w:rsidP="00A66DE9">
            <w:pPr>
              <w:pStyle w:val="Kop3"/>
            </w:pPr>
            <w:r w:rsidRPr="00CD056E">
              <w:t>Formation d’une flaque de liquide sous le poste de (dé)chargement</w:t>
            </w:r>
          </w:p>
        </w:tc>
        <w:tc>
          <w:tcPr>
            <w:tcW w:w="4925" w:type="dxa"/>
          </w:tcPr>
          <w:p w:rsidR="00CD056E" w:rsidRPr="00CD056E" w:rsidRDefault="00CD056E" w:rsidP="00CD056E">
            <w:pPr>
              <w:rPr>
                <w:lang w:val="fr-BE"/>
              </w:rPr>
            </w:pPr>
          </w:p>
        </w:tc>
      </w:tr>
      <w:tr w:rsidR="00CD056E" w:rsidRPr="00B42730" w:rsidTr="00CD056E">
        <w:tc>
          <w:tcPr>
            <w:tcW w:w="8505" w:type="dxa"/>
          </w:tcPr>
          <w:p w:rsidR="00CD056E" w:rsidRPr="00CD056E" w:rsidRDefault="00CD056E" w:rsidP="00A66DE9">
            <w:pPr>
              <w:pStyle w:val="Maatregel"/>
              <w:numPr>
                <w:ilvl w:val="0"/>
                <w:numId w:val="2"/>
              </w:numPr>
              <w:tabs>
                <w:tab w:val="clear" w:pos="3686"/>
                <w:tab w:val="num" w:pos="567"/>
              </w:tabs>
              <w:ind w:left="567"/>
              <w:rPr>
                <w:lang w:val="fr-BE"/>
              </w:rPr>
            </w:pPr>
            <w:r w:rsidRPr="00CD056E">
              <w:rPr>
                <w:lang w:val="fr-BE"/>
              </w:rPr>
              <w:t>Recueil sous les postes de (dé)chargement</w:t>
            </w:r>
          </w:p>
        </w:tc>
        <w:tc>
          <w:tcPr>
            <w:tcW w:w="4925" w:type="dxa"/>
          </w:tcPr>
          <w:p w:rsidR="00CD056E" w:rsidRPr="00CD056E" w:rsidRDefault="00CD056E" w:rsidP="00CD056E">
            <w:pPr>
              <w:rPr>
                <w:lang w:val="fr-BE"/>
              </w:rPr>
            </w:pPr>
          </w:p>
        </w:tc>
      </w:tr>
      <w:tr w:rsidR="00CD056E" w:rsidRPr="00B42730" w:rsidTr="00CD056E">
        <w:tc>
          <w:tcPr>
            <w:tcW w:w="8505" w:type="dxa"/>
          </w:tcPr>
          <w:p w:rsidR="00CD056E" w:rsidRPr="00CD056E" w:rsidRDefault="00CD056E" w:rsidP="00A66DE9">
            <w:pPr>
              <w:pStyle w:val="Toelichtingvraag"/>
              <w:ind w:left="0"/>
              <w:rPr>
                <w:lang w:val="fr-BE"/>
              </w:rPr>
            </w:pPr>
            <w:r w:rsidRPr="00CD056E">
              <w:rPr>
                <w:lang w:val="fr-BE"/>
              </w:rPr>
              <w:t>En pente pour éloigner le liquide du camion- ou wagon-citerne</w:t>
            </w:r>
          </w:p>
        </w:tc>
        <w:tc>
          <w:tcPr>
            <w:tcW w:w="4925" w:type="dxa"/>
          </w:tcPr>
          <w:p w:rsidR="00CD056E" w:rsidRPr="00CD056E" w:rsidRDefault="00CD056E" w:rsidP="00CD056E">
            <w:pPr>
              <w:rPr>
                <w:lang w:val="fr-BE"/>
              </w:rPr>
            </w:pPr>
          </w:p>
        </w:tc>
      </w:tr>
      <w:tr w:rsidR="00CD056E" w:rsidRPr="00B42730" w:rsidTr="00CD056E">
        <w:tc>
          <w:tcPr>
            <w:tcW w:w="8505" w:type="dxa"/>
          </w:tcPr>
          <w:p w:rsidR="00CD056E" w:rsidRPr="00CD056E" w:rsidRDefault="00CD056E" w:rsidP="00A66DE9">
            <w:pPr>
              <w:pStyle w:val="Toelichtingvraag"/>
              <w:ind w:left="0"/>
              <w:rPr>
                <w:lang w:val="fr-BE"/>
              </w:rPr>
            </w:pPr>
            <w:r w:rsidRPr="00CD056E">
              <w:rPr>
                <w:lang w:val="fr-BE"/>
              </w:rPr>
              <w:t>En pente vers un puits de recueil dans le cas où la formation d’une flaque de liquide peut être attendue.</w:t>
            </w:r>
          </w:p>
        </w:tc>
        <w:tc>
          <w:tcPr>
            <w:tcW w:w="4925" w:type="dxa"/>
          </w:tcPr>
          <w:p w:rsidR="00CD056E" w:rsidRPr="00CD056E" w:rsidRDefault="00CD056E" w:rsidP="00CD056E">
            <w:pPr>
              <w:rPr>
                <w:lang w:val="fr-BE"/>
              </w:rPr>
            </w:pPr>
          </w:p>
        </w:tc>
      </w:tr>
      <w:tr w:rsidR="00CD056E" w:rsidRPr="00B42730" w:rsidTr="00CD056E">
        <w:tc>
          <w:tcPr>
            <w:tcW w:w="8505" w:type="dxa"/>
          </w:tcPr>
          <w:p w:rsidR="00CD056E" w:rsidRPr="00CD056E" w:rsidRDefault="00CD056E" w:rsidP="00A66DE9">
            <w:pPr>
              <w:pStyle w:val="Kop3"/>
            </w:pPr>
            <w:r w:rsidRPr="00CD056E">
              <w:t>Dispersion de gaz inflammables via les égouts</w:t>
            </w:r>
          </w:p>
        </w:tc>
        <w:tc>
          <w:tcPr>
            <w:tcW w:w="4925" w:type="dxa"/>
          </w:tcPr>
          <w:p w:rsidR="00CD056E" w:rsidRPr="00360307" w:rsidRDefault="00CD056E" w:rsidP="00CD056E">
            <w:pPr>
              <w:rPr>
                <w:lang w:val="fr-FR"/>
              </w:rPr>
            </w:pPr>
          </w:p>
        </w:tc>
      </w:tr>
      <w:tr w:rsidR="00CD056E" w:rsidRPr="00B42730" w:rsidTr="00CD056E">
        <w:tc>
          <w:tcPr>
            <w:tcW w:w="8505" w:type="dxa"/>
          </w:tcPr>
          <w:p w:rsidR="00CD056E" w:rsidRPr="00CD056E" w:rsidRDefault="00CD056E" w:rsidP="00A66DE9">
            <w:pPr>
              <w:pStyle w:val="Maatregel"/>
              <w:numPr>
                <w:ilvl w:val="0"/>
                <w:numId w:val="2"/>
              </w:numPr>
              <w:tabs>
                <w:tab w:val="clear" w:pos="3686"/>
                <w:tab w:val="num" w:pos="567"/>
              </w:tabs>
              <w:ind w:left="567"/>
              <w:rPr>
                <w:lang w:val="fr-BE"/>
              </w:rPr>
            </w:pPr>
            <w:r w:rsidRPr="00CD056E">
              <w:rPr>
                <w:lang w:val="fr-BE"/>
              </w:rPr>
              <w:t>Chambres de compensation dans les égouts du poste de (dé)chargement</w:t>
            </w:r>
          </w:p>
        </w:tc>
        <w:tc>
          <w:tcPr>
            <w:tcW w:w="4925" w:type="dxa"/>
          </w:tcPr>
          <w:p w:rsidR="00CD056E" w:rsidRPr="00CD056E" w:rsidRDefault="00CD056E" w:rsidP="00CD056E">
            <w:pPr>
              <w:rPr>
                <w:lang w:val="fr-BE"/>
              </w:rPr>
            </w:pPr>
          </w:p>
        </w:tc>
      </w:tr>
      <w:tr w:rsidR="00CD056E" w:rsidRPr="00B42730" w:rsidTr="00CD056E">
        <w:tc>
          <w:tcPr>
            <w:tcW w:w="8505" w:type="dxa"/>
          </w:tcPr>
          <w:p w:rsidR="00CD056E" w:rsidRPr="00CD056E" w:rsidRDefault="00CD056E" w:rsidP="00A66DE9">
            <w:pPr>
              <w:pStyle w:val="Toelichtingvraag"/>
              <w:ind w:left="0"/>
              <w:rPr>
                <w:shd w:val="clear" w:color="auto" w:fill="3BEE32"/>
                <w:lang w:val="fr-BE"/>
              </w:rPr>
            </w:pPr>
            <w:r w:rsidRPr="00CD056E">
              <w:rPr>
                <w:lang w:val="fr-BE"/>
              </w:rPr>
              <w:t>Les égouts sont équipés d’un système qui empêche la dispersion du gaz inflammable sous forme liquide et sous forme gazeuse (par ex. des chambres de compensation).</w:t>
            </w:r>
          </w:p>
        </w:tc>
        <w:tc>
          <w:tcPr>
            <w:tcW w:w="4925" w:type="dxa"/>
          </w:tcPr>
          <w:p w:rsidR="00CD056E" w:rsidRPr="00CD056E" w:rsidRDefault="00CD056E" w:rsidP="00CD056E">
            <w:pPr>
              <w:rPr>
                <w:lang w:val="fr-BE"/>
              </w:rPr>
            </w:pPr>
          </w:p>
        </w:tc>
      </w:tr>
    </w:tbl>
    <w:p w:rsidR="002964F4" w:rsidRPr="00C05350" w:rsidRDefault="002964F4" w:rsidP="002964F4">
      <w:pPr>
        <w:rPr>
          <w:lang w:val="fr-BE"/>
        </w:rPr>
      </w:pPr>
    </w:p>
    <w:p w:rsidR="002964F4" w:rsidRDefault="002964F4" w:rsidP="002151E9">
      <w:pPr>
        <w:rPr>
          <w:lang w:val="fr-BE"/>
        </w:rPr>
      </w:pPr>
      <w:r w:rsidRPr="00C05350">
        <w:rPr>
          <w:lang w:val="fr-BE"/>
        </w:rPr>
        <w:br w:type="page"/>
      </w:r>
    </w:p>
    <w:p w:rsidR="005A6F16" w:rsidRDefault="005A6F16" w:rsidP="002151E9">
      <w:pPr>
        <w:rPr>
          <w:lang w:val="fr-BE"/>
        </w:rPr>
      </w:pPr>
    </w:p>
    <w:p w:rsidR="00F3791C" w:rsidRPr="0052522C" w:rsidRDefault="00736632" w:rsidP="00A70AF4">
      <w:pPr>
        <w:pStyle w:val="Kop2"/>
      </w:pPr>
      <w:bookmarkStart w:id="22" w:name="_Toc496177871"/>
      <w:r w:rsidRPr="0052522C">
        <w:t>Eviter des sources d’</w:t>
      </w:r>
      <w:r w:rsidR="00E16598" w:rsidRPr="0052522C">
        <w:t>inflammation</w:t>
      </w:r>
      <w:bookmarkEnd w:id="22"/>
    </w:p>
    <w:tbl>
      <w:tblPr>
        <w:tblStyle w:val="Tabelraster"/>
        <w:tblW w:w="0" w:type="auto"/>
        <w:tblInd w:w="562" w:type="dxa"/>
        <w:tblLook w:val="04A0" w:firstRow="1" w:lastRow="0" w:firstColumn="1" w:lastColumn="0" w:noHBand="0" w:noVBand="1"/>
      </w:tblPr>
      <w:tblGrid>
        <w:gridCol w:w="8505"/>
        <w:gridCol w:w="4925"/>
      </w:tblGrid>
      <w:tr w:rsidR="00596A71" w:rsidRPr="00B42730" w:rsidTr="00596A71">
        <w:tc>
          <w:tcPr>
            <w:tcW w:w="8505" w:type="dxa"/>
          </w:tcPr>
          <w:p w:rsidR="00596A71" w:rsidRPr="00596A71" w:rsidRDefault="00596A71" w:rsidP="00A66DE9">
            <w:pPr>
              <w:pStyle w:val="Kop3"/>
            </w:pPr>
            <w:r w:rsidRPr="00596A71">
              <w:t xml:space="preserve">Déchargements électrostatiques lors du (dé)chargement </w:t>
            </w:r>
          </w:p>
        </w:tc>
        <w:tc>
          <w:tcPr>
            <w:tcW w:w="4925" w:type="dxa"/>
          </w:tcPr>
          <w:p w:rsidR="00596A71" w:rsidRPr="00596A71" w:rsidRDefault="00596A71" w:rsidP="00596A71">
            <w:pPr>
              <w:rPr>
                <w:lang w:val="fr-BE"/>
              </w:rPr>
            </w:pPr>
          </w:p>
        </w:tc>
      </w:tr>
      <w:tr w:rsidR="00596A71" w:rsidRPr="00596A71" w:rsidTr="00596A71">
        <w:tc>
          <w:tcPr>
            <w:tcW w:w="8505" w:type="dxa"/>
          </w:tcPr>
          <w:p w:rsidR="00596A71" w:rsidRPr="00596A71" w:rsidRDefault="00596A71" w:rsidP="00A66DE9">
            <w:pPr>
              <w:pStyle w:val="Mesure"/>
            </w:pPr>
            <w:r w:rsidRPr="00596A71">
              <w:t>Connexion équipotentielle</w:t>
            </w:r>
          </w:p>
        </w:tc>
        <w:tc>
          <w:tcPr>
            <w:tcW w:w="4925" w:type="dxa"/>
          </w:tcPr>
          <w:p w:rsidR="00596A71" w:rsidRPr="00596A71" w:rsidRDefault="00596A71" w:rsidP="00596A71"/>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Les camions- ou wagons-citernes et les installations fixes (les réservoirs, les tuyauteries et les accessoires y attenant inclus) doivent être au même potentiel. La résistance des connexions équipotentielles s'élève à 10 </w:t>
            </w:r>
            <w:r w:rsidRPr="00596A71">
              <w:t>Ω</w:t>
            </w:r>
            <w:r w:rsidRPr="00596A71">
              <w:rPr>
                <w:lang w:val="fr-BE"/>
              </w:rPr>
              <w:t xml:space="preserve"> au maximum [19]. </w:t>
            </w:r>
          </w:p>
        </w:tc>
        <w:tc>
          <w:tcPr>
            <w:tcW w:w="4925" w:type="dxa"/>
          </w:tcPr>
          <w:p w:rsidR="00596A71" w:rsidRPr="00596A71" w:rsidRDefault="00596A71" w:rsidP="00596A71">
            <w:pPr>
              <w:rPr>
                <w:lang w:val="fr-BE"/>
              </w:rPr>
            </w:pPr>
          </w:p>
        </w:tc>
      </w:tr>
      <w:tr w:rsidR="00596A71" w:rsidRPr="00596A71" w:rsidTr="00596A71">
        <w:tc>
          <w:tcPr>
            <w:tcW w:w="8505" w:type="dxa"/>
          </w:tcPr>
          <w:p w:rsidR="00596A71" w:rsidRPr="00596A71" w:rsidRDefault="00596A71" w:rsidP="00A66DE9">
            <w:pPr>
              <w:pStyle w:val="Toelichtingvraag"/>
              <w:ind w:left="0"/>
              <w:rPr>
                <w:lang w:val="fr-BE"/>
              </w:rPr>
            </w:pPr>
            <w:r w:rsidRPr="00596A71">
              <w:rPr>
                <w:lang w:val="fr-BE"/>
              </w:rPr>
              <w:t>Instructions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insprong1"/>
            </w:pPr>
            <w:r w:rsidRPr="00596A71">
              <w:t>L'installation obligatoire de la liaison équipotentielle est imposée dans les instructions de (dé)chargement.</w:t>
            </w:r>
          </w:p>
        </w:tc>
        <w:tc>
          <w:tcPr>
            <w:tcW w:w="4925" w:type="dxa"/>
          </w:tcPr>
          <w:p w:rsidR="00596A71" w:rsidRPr="00596A71"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Verrouillage de la liaison équipotentielle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insprong1"/>
            </w:pPr>
            <w:r w:rsidRPr="00596A71">
              <w:t>Le verrouillage empêche le (dé)chargement tant que la résistance de la liaison équipotentielle est trop élevée.</w:t>
            </w:r>
          </w:p>
        </w:tc>
        <w:tc>
          <w:tcPr>
            <w:tcW w:w="4925" w:type="dxa"/>
          </w:tcPr>
          <w:p w:rsidR="00596A71" w:rsidRPr="00596A71"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Indication d'une bonne liaison équipotentielle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insprong1"/>
            </w:pPr>
            <w:r w:rsidRPr="00596A71">
              <w:t>Cette mesure peut être acceptée comme alternative au verrouillage de la pompe de (dé)chargement par la liaison équipotentielle. Cela peut être réalisé au moyen d'une lampe, par exemple.</w:t>
            </w:r>
          </w:p>
        </w:tc>
        <w:tc>
          <w:tcPr>
            <w:tcW w:w="4925" w:type="dxa"/>
          </w:tcPr>
          <w:p w:rsidR="00596A71" w:rsidRPr="00596A71" w:rsidRDefault="00596A71" w:rsidP="00596A71">
            <w:pPr>
              <w:rPr>
                <w:lang w:val="fr-FR"/>
              </w:rPr>
            </w:pPr>
          </w:p>
        </w:tc>
      </w:tr>
      <w:tr w:rsidR="00596A71" w:rsidRPr="00596A71" w:rsidTr="00596A71">
        <w:tc>
          <w:tcPr>
            <w:tcW w:w="8505" w:type="dxa"/>
          </w:tcPr>
          <w:p w:rsidR="00596A71" w:rsidRPr="00596A71" w:rsidRDefault="00596A71" w:rsidP="00A66DE9">
            <w:pPr>
              <w:pStyle w:val="Toelichtingvraag"/>
              <w:ind w:left="0"/>
              <w:rPr>
                <w:lang w:val="fr-BE"/>
              </w:rPr>
            </w:pPr>
            <w:r w:rsidRPr="00596A71">
              <w:rPr>
                <w:lang w:val="fr-BE"/>
              </w:rPr>
              <w:t>Inspection</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insprong1"/>
            </w:pPr>
            <w:r w:rsidRPr="00596A71">
              <w:t xml:space="preserve">Les connexions équipotentielles, le bon fonctionnement du verrouillage et / ou de l'indication d'une bonne liaison équipotentielle sont testés suivant un programme d'inspection. La fixation solide des connexions </w:t>
            </w:r>
            <w:r w:rsidRPr="00596A71">
              <w:lastRenderedPageBreak/>
              <w:t>équipotentielles est contrôlée pendant les rondes périodiques de contrôle.</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Mesure"/>
            </w:pPr>
            <w:r w:rsidRPr="00596A71">
              <w:t>Flexibles de (dé)chargement suffisamment conducteurs</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Des charges électriques seront déposées sur le flexible de (dé)chargement par l’écoulement du liquide à travers ce flexible. Si ces charges peuvent s’accumuler, le flexible se charge électrostatiquement et une étincelle peut survenir lors de la décharge.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C’est pourquoi il est nécessaire que le flexible de (dé)chargement soit suffisamment conducteur. La résistance s’élève au maximum à 10</w:t>
            </w:r>
            <w:r w:rsidRPr="00596A71">
              <w:rPr>
                <w:vertAlign w:val="superscript"/>
                <w:lang w:val="fr-BE"/>
              </w:rPr>
              <w:t>6</w:t>
            </w:r>
            <w:r w:rsidRPr="00596A71">
              <w:rPr>
                <w:lang w:val="fr-BE"/>
              </w:rPr>
              <w:t xml:space="preserve"> </w:t>
            </w:r>
            <w:r w:rsidRPr="00596A71">
              <w:t>Ω</w:t>
            </w:r>
            <w:r w:rsidRPr="00596A71">
              <w:rPr>
                <w:lang w:val="fr-BE"/>
              </w:rPr>
              <w:t xml:space="preserve">/m. Les charges seront en principe évacuées via la masse à laquelle le flexible de (dé)chargement est relié. </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 xml:space="preserve">La résistance des flexibles de (dé)chargement est contrôlée périodiquement. </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Le guide ‘</w:t>
            </w:r>
            <w:r w:rsidRPr="00596A71">
              <w:rPr>
                <w:lang w:val="fr-BE" w:eastAsia="nl-BE"/>
              </w:rPr>
              <w:t>International Safety Guide for Inland Navigation Tank-barges and Terminals</w:t>
            </w:r>
            <w:r w:rsidRPr="00596A71">
              <w:rPr>
                <w:lang w:val="fr-BE"/>
              </w:rPr>
              <w:t>’</w:t>
            </w:r>
            <w:r w:rsidRPr="00596A71">
              <w:rPr>
                <w:lang w:val="fr-BE" w:eastAsia="nl-BE"/>
              </w:rPr>
              <w:t xml:space="preserve"> [31] </w:t>
            </w:r>
            <w:r w:rsidRPr="00596A71">
              <w:rPr>
                <w:lang w:val="fr-BE"/>
              </w:rPr>
              <w:t>demande de réaliser un test de conductivité au moins tous les ans.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highlight w:val="yellow"/>
                <w:lang w:val="fr-BE"/>
              </w:rPr>
            </w:pPr>
            <w:r w:rsidRPr="00596A71">
              <w:rPr>
                <w:lang w:val="fr-BE"/>
              </w:rPr>
              <w:t>Vu que la continuité électrique peut être influencée par un test de pression, cette directive recommande de réaliser le contrôle de la résistance électrique après les tests de pression.</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Mesure"/>
            </w:pPr>
            <w:r w:rsidRPr="00596A71">
              <w:t>Mise à la terre des deux rails ferroviaires</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b/>
                <w:lang w:val="fr-BE"/>
              </w:rPr>
            </w:pPr>
            <w:r w:rsidRPr="00596A71">
              <w:rPr>
                <w:lang w:val="fr-BE"/>
              </w:rPr>
              <w:t>Lors du (dé)chargement d’un wagon ferroviaire, les rails doivent être mis à la terre.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Mesure"/>
            </w:pPr>
            <w:r w:rsidRPr="00596A71">
              <w:t xml:space="preserve">Isolation électrique des rails de chemin de fer du réseau de chemin de fer </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Kop3"/>
            </w:pPr>
            <w:r w:rsidRPr="00596A71">
              <w:t>Etincelles dues à l’appareillage électrique</w:t>
            </w:r>
          </w:p>
        </w:tc>
        <w:tc>
          <w:tcPr>
            <w:tcW w:w="4925" w:type="dxa"/>
          </w:tcPr>
          <w:p w:rsidR="00596A71" w:rsidRPr="00360307" w:rsidRDefault="00596A71" w:rsidP="00596A71">
            <w:pPr>
              <w:rPr>
                <w:lang w:val="fr-FR"/>
              </w:rPr>
            </w:pPr>
          </w:p>
        </w:tc>
      </w:tr>
      <w:tr w:rsidR="00596A71" w:rsidRPr="00B42730" w:rsidTr="00596A71">
        <w:tc>
          <w:tcPr>
            <w:tcW w:w="8505" w:type="dxa"/>
          </w:tcPr>
          <w:p w:rsidR="00596A71" w:rsidRPr="00596A71" w:rsidRDefault="00596A71" w:rsidP="00A66DE9">
            <w:pPr>
              <w:pStyle w:val="Mesure"/>
              <w:rPr>
                <w:szCs w:val="20"/>
              </w:rPr>
            </w:pPr>
            <w:r w:rsidRPr="00596A71">
              <w:t xml:space="preserve">Installations électriques EEX au niveau des postes de (dé)chargement </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Les postes de (dé)chargement font l’objet d’un dossier de zonage et d’un document relatif à la protection contre les explosions.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 xml:space="preserve">L’entreprise dispose d’une attestation de conformité établie par un organisme agréé, et rédigée suite à la première mise en service de l’installation électrique ou suite à des </w:t>
            </w:r>
            <w:r w:rsidRPr="00596A71">
              <w:rPr>
                <w:lang w:val="fr-BE"/>
              </w:rPr>
              <w:lastRenderedPageBreak/>
              <w:t>modifications importantes ou des extensions significatives, conformément à l’article 270 du RGIE. (Cette imposition réglementaire est évidemment seulement d’application pour les installations électriques et les modifications qui ont eu lieu après l’entrée en vigueur du RGIE en 1981).</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L'installation à basse tension est contrôlée tous les 5 ans sauf si c’est mentionné autrement dans le permis d'environnement ou sur la dernière attestation de contrôle.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Si des infractions sont mentionnées dans le rapport de contrôle périodique, l’exploitant démontre que les réparations ou adaptations nécessaires ont été correctement exécutées (ou que leur exécution est planifiée).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Mesure"/>
              <w:rPr>
                <w:szCs w:val="20"/>
              </w:rPr>
            </w:pPr>
            <w:r w:rsidRPr="00596A71">
              <w:t>Interdiction d'utiliser des appareils portatifs non-EEX</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L'interdiction est reprise dans le règlement général de sécurité de l'entreprise. Une interdiction d'utilisation de GSM non-EEX est indiquée à l'entrée du terrain ou aux installations de (dé)chargement.</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Kop3"/>
            </w:pPr>
            <w:r w:rsidRPr="00596A71">
              <w:t>Sources d’inflammation sur le camion-citerne</w:t>
            </w:r>
          </w:p>
        </w:tc>
        <w:tc>
          <w:tcPr>
            <w:tcW w:w="4925" w:type="dxa"/>
          </w:tcPr>
          <w:p w:rsidR="00596A71" w:rsidRPr="00360307" w:rsidRDefault="00596A71" w:rsidP="00596A71">
            <w:pPr>
              <w:rPr>
                <w:lang w:val="fr-FR"/>
              </w:rPr>
            </w:pPr>
          </w:p>
        </w:tc>
      </w:tr>
      <w:tr w:rsidR="00596A71" w:rsidRPr="00B42730" w:rsidTr="00596A71">
        <w:tc>
          <w:tcPr>
            <w:tcW w:w="8505" w:type="dxa"/>
          </w:tcPr>
          <w:p w:rsidR="00596A71" w:rsidRPr="00596A71" w:rsidRDefault="00596A71" w:rsidP="00A66DE9">
            <w:pPr>
              <w:pStyle w:val="Mesure100"/>
            </w:pPr>
            <w:r w:rsidRPr="00596A71">
              <w:t>Liaison du système d’arrêt d’urgence du camion-citerne avec celui de l’établissement</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Pour le déchargement d’un camion-citerne de LPG, on utilise souvent une pompe hydraulique sur le camion-citerne. Pour actionner cette pompe, l’énergie est fournie par le moteur du camion-citerne. Par conséquent, le moteur du camion-citerne qui doit continuer à tourner pendant le déchargement présente ainsi une source d’inflammation potentielle.</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L’objectif de la liaison du système d’arrêt d’urgence du camion-citerne avec celui de l’établissement est de donner la possibilité à l’établissement, via son système d’arrêt d’urgence, de fermer la vanne de fond du camion-citerne mais également d’en arrêter le moteur (en coupant l’interrupteur principal du camion-citerne). Ainsi, aussi bien la durée, l’ampleur de la fuite et le risque d’inflammation sont limités.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La liaison entre les systèmes d’arrêt d’urgence se fait à l’aide d’une liaison à 3 brins.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lastRenderedPageBreak/>
              <w:t>Les détails techniques d’une telle liaison ont été décrits dans la note d’information ‘Liaison entre le système d’arrêt d’urgence du camion-citerne et celui de l’établissement pour le déchargement de grandes quantités de LPG dans des entreprises Seveso’ (CRC/IN/018-F).</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Aussi dans d’autres situations, pour lesquelles le moteur du camion-citerne ne tourne pas, la mise en place de la liaison décrite ci-dessus entre le système d’arrêt d’urgence du camion-citerne et celui de l’installation, présente l’avantage que dans une situation d’urgence, le camion-citerne est ramené rapidement dans une position de sécurité lors de l’activation de l’arrêt d’urgence de l’installation.</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Kop3"/>
            </w:pPr>
            <w:r w:rsidRPr="00596A71">
              <w:t>Etincelles électrostatiques dues aux vêtements</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Mesure"/>
            </w:pPr>
            <w:r w:rsidRPr="00596A71">
              <w:t>Chaussures et vêtements antistatiques pour les opérateurs de (dé)chargement</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Le port de chaussures et vêtements antistatiques est obligatoire pour le personnel de l'entreprise et pour les tiers réalisant le (dé)chargement des camions- ou des wagons-citernes.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b/>
                <w:lang w:val="fr-BE"/>
              </w:rPr>
            </w:pPr>
            <w:r w:rsidRPr="00596A71">
              <w:rPr>
                <w:lang w:val="fr-BE"/>
              </w:rPr>
              <w:t>Il y a une interdiction d’enfiler et de retirer des vêtements dans l’installation car c’est à ce moment-là surtout que se présente le risque d’avoir des étincelles électrostatiques.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Mesure"/>
            </w:pPr>
            <w:r w:rsidRPr="00596A71">
              <w:t>Surface de l’aire de (dé)chargement suffisamment conductrice</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b/>
                <w:lang w:val="fr-BE"/>
              </w:rPr>
            </w:pPr>
            <w:r w:rsidRPr="00596A71">
              <w:rPr>
                <w:lang w:val="fr-BE"/>
              </w:rPr>
              <w:t>Par exemple, le béton non-traité est suffisamment conducteur tandis que l’asphalte et les résines époxy sont insuffisamment conducteurs.</w:t>
            </w:r>
            <w:r w:rsidRPr="00596A71">
              <w:rPr>
                <w:b/>
                <w:lang w:val="fr-BE"/>
              </w:rPr>
              <w:t xml:space="preserve"> </w:t>
            </w:r>
          </w:p>
        </w:tc>
        <w:tc>
          <w:tcPr>
            <w:tcW w:w="4925" w:type="dxa"/>
          </w:tcPr>
          <w:p w:rsidR="00596A71" w:rsidRPr="00596A71" w:rsidRDefault="00596A71" w:rsidP="00596A71">
            <w:pPr>
              <w:rPr>
                <w:lang w:val="fr-BE"/>
              </w:rPr>
            </w:pPr>
          </w:p>
        </w:tc>
      </w:tr>
      <w:tr w:rsidR="00596A71" w:rsidRPr="00596A71" w:rsidTr="00596A71">
        <w:tc>
          <w:tcPr>
            <w:tcW w:w="8505" w:type="dxa"/>
          </w:tcPr>
          <w:p w:rsidR="00596A71" w:rsidRPr="00596A71" w:rsidRDefault="00596A71" w:rsidP="00A66DE9">
            <w:pPr>
              <w:pStyle w:val="Kop3"/>
            </w:pPr>
            <w:bookmarkStart w:id="23" w:name="_Toc353287563"/>
            <w:bookmarkStart w:id="24" w:name="_Toc353309789"/>
            <w:bookmarkStart w:id="25" w:name="_Toc353971610"/>
            <w:bookmarkEnd w:id="23"/>
            <w:bookmarkEnd w:id="24"/>
            <w:bookmarkEnd w:id="25"/>
            <w:r w:rsidRPr="00596A71">
              <w:t>Flamme nue</w:t>
            </w:r>
          </w:p>
        </w:tc>
        <w:tc>
          <w:tcPr>
            <w:tcW w:w="4925" w:type="dxa"/>
          </w:tcPr>
          <w:p w:rsidR="00596A71" w:rsidRPr="00596A71" w:rsidRDefault="00596A71" w:rsidP="00596A71"/>
        </w:tc>
      </w:tr>
      <w:tr w:rsidR="00596A71" w:rsidRPr="00B42730" w:rsidTr="00596A71">
        <w:tc>
          <w:tcPr>
            <w:tcW w:w="8505" w:type="dxa"/>
          </w:tcPr>
          <w:p w:rsidR="00596A71" w:rsidRPr="00596A71" w:rsidRDefault="00596A71" w:rsidP="00A66DE9">
            <w:pPr>
              <w:pStyle w:val="Mesure"/>
            </w:pPr>
            <w:r w:rsidRPr="00596A71">
              <w:t>Présence de panneaux d’interdiction ‘interdiction de feu, de flamme nue et de fumer’</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Le panneau ‘Feu, flamme nue interdite et défense de fumer’ est représenté dans le livre III, Titre 6 du Code du bien-être au travail (Signalisation de sécurité et de santé).</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
              <w:ind w:left="0"/>
              <w:rPr>
                <w:lang w:val="fr-BE"/>
              </w:rPr>
            </w:pPr>
            <w:r w:rsidRPr="00596A71">
              <w:rPr>
                <w:lang w:val="fr-BE"/>
              </w:rPr>
              <w:t>En ce qui concerne la localisation de ce panneau, le Code impose les conditions suivantes:</w:t>
            </w:r>
          </w:p>
        </w:tc>
        <w:tc>
          <w:tcPr>
            <w:tcW w:w="4925" w:type="dxa"/>
          </w:tcPr>
          <w:p w:rsidR="00596A71" w:rsidRPr="00596A71" w:rsidRDefault="00596A71" w:rsidP="00596A71">
            <w:pPr>
              <w:rPr>
                <w:lang w:val="fr-BE"/>
              </w:rPr>
            </w:pPr>
          </w:p>
        </w:tc>
      </w:tr>
      <w:tr w:rsidR="00596A71" w:rsidRPr="00B42730" w:rsidTr="00596A71">
        <w:tc>
          <w:tcPr>
            <w:tcW w:w="8505" w:type="dxa"/>
          </w:tcPr>
          <w:p w:rsidR="00596A71" w:rsidRPr="00596A71" w:rsidRDefault="00596A71" w:rsidP="00A66DE9">
            <w:pPr>
              <w:pStyle w:val="toelichtingvraaginsprong1"/>
            </w:pPr>
            <w:r w:rsidRPr="00596A71">
              <w:lastRenderedPageBreak/>
              <w:t>à une hauteur et selon une position appropriée par rapport à l'angle de vue</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insprong1"/>
            </w:pPr>
            <w:r w:rsidRPr="00596A71">
              <w:t>à l'accès à une zone où le risque dû à la présence d’une flamme nue existe</w:t>
            </w:r>
          </w:p>
        </w:tc>
        <w:tc>
          <w:tcPr>
            <w:tcW w:w="4925" w:type="dxa"/>
          </w:tcPr>
          <w:p w:rsidR="00596A71" w:rsidRPr="00B42730" w:rsidRDefault="00596A71" w:rsidP="00596A71">
            <w:pPr>
              <w:rPr>
                <w:lang w:val="fr-FR"/>
              </w:rPr>
            </w:pPr>
          </w:p>
        </w:tc>
      </w:tr>
      <w:tr w:rsidR="00596A71" w:rsidRPr="00B42730" w:rsidTr="00596A71">
        <w:tc>
          <w:tcPr>
            <w:tcW w:w="8505" w:type="dxa"/>
          </w:tcPr>
          <w:p w:rsidR="00596A71" w:rsidRPr="00596A71" w:rsidRDefault="00596A71" w:rsidP="00A66DE9">
            <w:pPr>
              <w:pStyle w:val="toelichtingvraaginsprong1"/>
            </w:pPr>
            <w:r w:rsidRPr="00596A71">
              <w:t>dans un endroit bien éclairé et facilement accessible et visible.</w:t>
            </w:r>
          </w:p>
        </w:tc>
        <w:tc>
          <w:tcPr>
            <w:tcW w:w="4925" w:type="dxa"/>
          </w:tcPr>
          <w:p w:rsidR="00596A71" w:rsidRPr="00B42730" w:rsidRDefault="00596A71" w:rsidP="00596A71">
            <w:pPr>
              <w:rPr>
                <w:lang w:val="fr-FR"/>
              </w:rPr>
            </w:pPr>
          </w:p>
        </w:tc>
      </w:tr>
    </w:tbl>
    <w:p w:rsidR="005070C7" w:rsidRPr="00C05350" w:rsidRDefault="005070C7" w:rsidP="005070C7">
      <w:pPr>
        <w:rPr>
          <w:lang w:val="fr-BE"/>
        </w:rPr>
      </w:pPr>
    </w:p>
    <w:p w:rsidR="005070C7" w:rsidRDefault="005070C7">
      <w:pPr>
        <w:jc w:val="left"/>
        <w:rPr>
          <w:lang w:val="fr-BE"/>
        </w:rPr>
      </w:pPr>
      <w:r w:rsidRPr="00C05350">
        <w:rPr>
          <w:lang w:val="fr-BE"/>
        </w:rPr>
        <w:br w:type="page"/>
      </w:r>
    </w:p>
    <w:p w:rsidR="005A6F16" w:rsidRDefault="005A6F16" w:rsidP="005A6F16">
      <w:pPr>
        <w:rPr>
          <w:lang w:val="fr-BE"/>
        </w:rPr>
      </w:pPr>
    </w:p>
    <w:p w:rsidR="00132BCA" w:rsidRPr="0052522C" w:rsidRDefault="003003AF" w:rsidP="00A70AF4">
      <w:pPr>
        <w:pStyle w:val="Kop2"/>
      </w:pPr>
      <w:bookmarkStart w:id="26" w:name="_Toc496177872"/>
      <w:r w:rsidRPr="0052522C">
        <w:t>Limitation des dommages dus à l’incendie</w:t>
      </w:r>
      <w:bookmarkEnd w:id="26"/>
    </w:p>
    <w:tbl>
      <w:tblPr>
        <w:tblStyle w:val="Tabelraster"/>
        <w:tblW w:w="0" w:type="auto"/>
        <w:tblInd w:w="562" w:type="dxa"/>
        <w:tblLook w:val="04A0" w:firstRow="1" w:lastRow="0" w:firstColumn="1" w:lastColumn="0" w:noHBand="0" w:noVBand="1"/>
      </w:tblPr>
      <w:tblGrid>
        <w:gridCol w:w="8505"/>
        <w:gridCol w:w="4925"/>
      </w:tblGrid>
      <w:tr w:rsidR="00750FB0" w:rsidRPr="00750FB0" w:rsidTr="00750FB0">
        <w:tc>
          <w:tcPr>
            <w:tcW w:w="8505" w:type="dxa"/>
          </w:tcPr>
          <w:p w:rsidR="00750FB0" w:rsidRPr="00750FB0" w:rsidRDefault="00750FB0" w:rsidP="00A66DE9">
            <w:pPr>
              <w:pStyle w:val="Kop3"/>
              <w:rPr>
                <w:lang w:val="nl-BE"/>
              </w:rPr>
            </w:pPr>
            <w:r w:rsidRPr="00750FB0">
              <w:t>Extension d’un feu naissant</w:t>
            </w:r>
          </w:p>
        </w:tc>
        <w:tc>
          <w:tcPr>
            <w:tcW w:w="4925" w:type="dxa"/>
          </w:tcPr>
          <w:p w:rsidR="00750FB0" w:rsidRPr="00750FB0" w:rsidRDefault="00750FB0" w:rsidP="00750FB0"/>
        </w:tc>
      </w:tr>
      <w:tr w:rsidR="00750FB0" w:rsidRPr="00B42730" w:rsidTr="00750FB0">
        <w:tc>
          <w:tcPr>
            <w:tcW w:w="8505" w:type="dxa"/>
          </w:tcPr>
          <w:p w:rsidR="00750FB0" w:rsidRPr="00750FB0" w:rsidRDefault="00750FB0" w:rsidP="00A66DE9">
            <w:pPr>
              <w:pStyle w:val="Mesure"/>
              <w:rPr>
                <w:szCs w:val="20"/>
              </w:rPr>
            </w:pPr>
            <w:r w:rsidRPr="00750FB0">
              <w:t>Extincteurs portatifs au niveau des aires de (dé)chargement</w:t>
            </w:r>
          </w:p>
        </w:tc>
        <w:tc>
          <w:tcPr>
            <w:tcW w:w="4925" w:type="dxa"/>
          </w:tcPr>
          <w:p w:rsidR="00750FB0" w:rsidRPr="00750FB0" w:rsidRDefault="00750FB0" w:rsidP="00750FB0">
            <w:pPr>
              <w:rPr>
                <w:lang w:val="fr-FR"/>
              </w:rPr>
            </w:pPr>
          </w:p>
        </w:tc>
      </w:tr>
      <w:tr w:rsidR="00750FB0" w:rsidRPr="00B42730" w:rsidTr="00750FB0">
        <w:tc>
          <w:tcPr>
            <w:tcW w:w="8505" w:type="dxa"/>
          </w:tcPr>
          <w:p w:rsidR="00750FB0" w:rsidRPr="00750FB0" w:rsidRDefault="00750FB0" w:rsidP="00A66DE9">
            <w:pPr>
              <w:pStyle w:val="Toelichtingvraag"/>
              <w:ind w:left="0"/>
              <w:rPr>
                <w:lang w:val="fr-BE"/>
              </w:rPr>
            </w:pPr>
            <w:r w:rsidRPr="00750FB0">
              <w:rPr>
                <w:lang w:val="fr-BE"/>
              </w:rPr>
              <w:t>Les extincteurs portatifs ne sont pas adaptés pour éteindre un feu de gaz. Ils peuvent par contre être utilisés pour éteindre d’autres feux naissant.</w:t>
            </w:r>
          </w:p>
        </w:tc>
        <w:tc>
          <w:tcPr>
            <w:tcW w:w="4925" w:type="dxa"/>
          </w:tcPr>
          <w:p w:rsidR="00750FB0" w:rsidRPr="00750FB0" w:rsidRDefault="00750FB0" w:rsidP="00750FB0">
            <w:pPr>
              <w:rPr>
                <w:lang w:val="fr-BE"/>
              </w:rPr>
            </w:pPr>
          </w:p>
        </w:tc>
      </w:tr>
      <w:tr w:rsidR="00750FB0" w:rsidRPr="00750FB0" w:rsidTr="00750FB0">
        <w:tc>
          <w:tcPr>
            <w:tcW w:w="8505" w:type="dxa"/>
          </w:tcPr>
          <w:p w:rsidR="00750FB0" w:rsidRPr="00750FB0" w:rsidRDefault="00750FB0" w:rsidP="00A66DE9">
            <w:pPr>
              <w:pStyle w:val="Toelichtingvraag"/>
              <w:ind w:left="0"/>
              <w:rPr>
                <w:lang w:val="fr-BE"/>
              </w:rPr>
            </w:pPr>
            <w:r w:rsidRPr="00750FB0">
              <w:rPr>
                <w:lang w:val="fr-BE"/>
              </w:rPr>
              <w:t>Nombre et localisation</w:t>
            </w:r>
          </w:p>
        </w:tc>
        <w:tc>
          <w:tcPr>
            <w:tcW w:w="4925" w:type="dxa"/>
          </w:tcPr>
          <w:p w:rsidR="00750FB0" w:rsidRPr="00750FB0" w:rsidRDefault="00750FB0" w:rsidP="00750FB0">
            <w:pPr>
              <w:rPr>
                <w:lang w:val="fr-BE"/>
              </w:rPr>
            </w:pPr>
          </w:p>
        </w:tc>
      </w:tr>
      <w:tr w:rsidR="00750FB0" w:rsidRPr="00750FB0" w:rsidTr="00750FB0">
        <w:tc>
          <w:tcPr>
            <w:tcW w:w="8505" w:type="dxa"/>
          </w:tcPr>
          <w:p w:rsidR="00750FB0" w:rsidRPr="00750FB0" w:rsidRDefault="00750FB0" w:rsidP="00A66DE9">
            <w:pPr>
              <w:pStyle w:val="toelichtingvraaginsprong1"/>
            </w:pPr>
            <w:r w:rsidRPr="00750FB0">
              <w:t>facilement accessibles</w:t>
            </w:r>
          </w:p>
        </w:tc>
        <w:tc>
          <w:tcPr>
            <w:tcW w:w="4925" w:type="dxa"/>
          </w:tcPr>
          <w:p w:rsidR="00750FB0" w:rsidRPr="00750FB0" w:rsidRDefault="00750FB0" w:rsidP="00750FB0"/>
        </w:tc>
      </w:tr>
      <w:tr w:rsidR="00750FB0" w:rsidRPr="00B42730" w:rsidTr="00750FB0">
        <w:tc>
          <w:tcPr>
            <w:tcW w:w="8505" w:type="dxa"/>
          </w:tcPr>
          <w:p w:rsidR="00750FB0" w:rsidRPr="00750FB0" w:rsidRDefault="00750FB0" w:rsidP="00A66DE9">
            <w:pPr>
              <w:pStyle w:val="toelichtingvraaginsprong1"/>
              <w:rPr>
                <w:rFonts w:ascii="TTE1776740t00" w:hAnsi="TTE1776740t00" w:cs="TTE1776740t00"/>
              </w:rPr>
            </w:pPr>
            <w:r w:rsidRPr="00750FB0">
              <w:t xml:space="preserve">déterminés en concertation avec le Service Incendie local compétent. Les conclusions figurent dans un rapport (rédigé par le Service Incendie local et/ou l'entreprise). </w:t>
            </w:r>
          </w:p>
        </w:tc>
        <w:tc>
          <w:tcPr>
            <w:tcW w:w="4925" w:type="dxa"/>
          </w:tcPr>
          <w:p w:rsidR="00750FB0" w:rsidRPr="00750FB0" w:rsidRDefault="00750FB0" w:rsidP="00750FB0">
            <w:pPr>
              <w:rPr>
                <w:lang w:val="fr-FR"/>
              </w:rPr>
            </w:pPr>
          </w:p>
        </w:tc>
      </w:tr>
      <w:tr w:rsidR="00750FB0" w:rsidRPr="00750FB0" w:rsidTr="00750FB0">
        <w:tc>
          <w:tcPr>
            <w:tcW w:w="8505" w:type="dxa"/>
          </w:tcPr>
          <w:p w:rsidR="00750FB0" w:rsidRPr="00750FB0" w:rsidRDefault="00750FB0" w:rsidP="00A66DE9">
            <w:pPr>
              <w:pStyle w:val="Toelichtingvraag"/>
              <w:ind w:left="0"/>
              <w:rPr>
                <w:lang w:val="fr-BE"/>
              </w:rPr>
            </w:pPr>
            <w:r w:rsidRPr="00750FB0">
              <w:rPr>
                <w:lang w:val="fr-BE"/>
              </w:rPr>
              <w:t>Inspection et entretien</w:t>
            </w:r>
          </w:p>
        </w:tc>
        <w:tc>
          <w:tcPr>
            <w:tcW w:w="4925" w:type="dxa"/>
          </w:tcPr>
          <w:p w:rsidR="00750FB0" w:rsidRPr="00750FB0" w:rsidRDefault="00750FB0" w:rsidP="00750FB0">
            <w:pPr>
              <w:rPr>
                <w:lang w:val="fr-BE"/>
              </w:rPr>
            </w:pPr>
          </w:p>
        </w:tc>
      </w:tr>
      <w:tr w:rsidR="00750FB0" w:rsidRPr="00B42730" w:rsidTr="00750FB0">
        <w:tc>
          <w:tcPr>
            <w:tcW w:w="8505" w:type="dxa"/>
          </w:tcPr>
          <w:p w:rsidR="00750FB0" w:rsidRPr="00750FB0" w:rsidRDefault="00750FB0" w:rsidP="00A66DE9">
            <w:pPr>
              <w:pStyle w:val="toelichtingvraaginsprong1"/>
            </w:pPr>
            <w:r w:rsidRPr="00750FB0">
              <w:t>Les extincteurs portatifs sont repris dans un programme d'inspection/entretien:</w:t>
            </w:r>
          </w:p>
        </w:tc>
        <w:tc>
          <w:tcPr>
            <w:tcW w:w="4925" w:type="dxa"/>
          </w:tcPr>
          <w:p w:rsidR="00750FB0" w:rsidRPr="00750FB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2"/>
            </w:pPr>
            <w:r w:rsidRPr="00750FB0">
              <w:t>contrôle visuel périodique de la présence et de l’accessibilité des extincteurs</w:t>
            </w:r>
          </w:p>
        </w:tc>
        <w:tc>
          <w:tcPr>
            <w:tcW w:w="4925" w:type="dxa"/>
          </w:tcPr>
          <w:p w:rsidR="00750FB0" w:rsidRPr="00750FB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2"/>
            </w:pPr>
            <w:r w:rsidRPr="00750FB0">
              <w:t>inspection annuelle approfondie de chaque extincteur par une personne qualifiée.</w:t>
            </w:r>
          </w:p>
        </w:tc>
        <w:tc>
          <w:tcPr>
            <w:tcW w:w="4925" w:type="dxa"/>
          </w:tcPr>
          <w:p w:rsidR="00750FB0" w:rsidRPr="00750FB0" w:rsidRDefault="00750FB0" w:rsidP="00750FB0">
            <w:pPr>
              <w:rPr>
                <w:lang w:val="fr-FR"/>
              </w:rPr>
            </w:pPr>
          </w:p>
        </w:tc>
      </w:tr>
      <w:tr w:rsidR="00750FB0" w:rsidRPr="00750FB0" w:rsidTr="00750FB0">
        <w:tc>
          <w:tcPr>
            <w:tcW w:w="8505" w:type="dxa"/>
          </w:tcPr>
          <w:p w:rsidR="00750FB0" w:rsidRPr="00750FB0" w:rsidRDefault="00750FB0" w:rsidP="00A66DE9">
            <w:pPr>
              <w:pStyle w:val="Toelichtingvraag"/>
              <w:ind w:left="0"/>
              <w:rPr>
                <w:lang w:val="fr-BE"/>
              </w:rPr>
            </w:pPr>
            <w:r w:rsidRPr="00750FB0">
              <w:rPr>
                <w:lang w:val="fr-BE"/>
              </w:rPr>
              <w:t>Formation</w:t>
            </w:r>
          </w:p>
        </w:tc>
        <w:tc>
          <w:tcPr>
            <w:tcW w:w="4925" w:type="dxa"/>
          </w:tcPr>
          <w:p w:rsidR="00750FB0" w:rsidRPr="00750FB0" w:rsidRDefault="00750FB0" w:rsidP="00750FB0">
            <w:pPr>
              <w:rPr>
                <w:lang w:val="fr-BE"/>
              </w:rPr>
            </w:pPr>
          </w:p>
        </w:tc>
      </w:tr>
      <w:tr w:rsidR="00750FB0" w:rsidRPr="00750FB0" w:rsidTr="00750FB0">
        <w:tc>
          <w:tcPr>
            <w:tcW w:w="8505" w:type="dxa"/>
          </w:tcPr>
          <w:p w:rsidR="00750FB0" w:rsidRPr="00750FB0" w:rsidRDefault="00750FB0" w:rsidP="00A66DE9">
            <w:pPr>
              <w:pStyle w:val="toelichtingvraaginsprong1"/>
            </w:pPr>
            <w:r w:rsidRPr="00750FB0">
              <w:t>Les travailleurs reçoivent un entraînement périodique à l'utilisation d'extincteurs portatifs. La participation à ces formations est enregistrée.</w:t>
            </w:r>
          </w:p>
        </w:tc>
        <w:tc>
          <w:tcPr>
            <w:tcW w:w="4925" w:type="dxa"/>
          </w:tcPr>
          <w:p w:rsidR="00750FB0" w:rsidRPr="00750FB0" w:rsidRDefault="00750FB0" w:rsidP="00750FB0"/>
        </w:tc>
      </w:tr>
      <w:tr w:rsidR="00750FB0" w:rsidRPr="00750FB0" w:rsidTr="00750FB0">
        <w:tc>
          <w:tcPr>
            <w:tcW w:w="8505" w:type="dxa"/>
          </w:tcPr>
          <w:p w:rsidR="00750FB0" w:rsidRPr="00750FB0" w:rsidRDefault="00750FB0" w:rsidP="00A66DE9">
            <w:pPr>
              <w:pStyle w:val="Toelichtingvraag"/>
              <w:ind w:left="0"/>
              <w:rPr>
                <w:lang w:val="fr-BE"/>
              </w:rPr>
            </w:pPr>
            <w:r w:rsidRPr="00750FB0">
              <w:rPr>
                <w:lang w:val="fr-BE"/>
              </w:rPr>
              <w:lastRenderedPageBreak/>
              <w:t>Signalisation</w:t>
            </w:r>
          </w:p>
        </w:tc>
        <w:tc>
          <w:tcPr>
            <w:tcW w:w="4925" w:type="dxa"/>
          </w:tcPr>
          <w:p w:rsidR="00750FB0" w:rsidRPr="00750FB0" w:rsidRDefault="00750FB0" w:rsidP="00750FB0">
            <w:pPr>
              <w:rPr>
                <w:lang w:val="fr-BE"/>
              </w:rPr>
            </w:pPr>
          </w:p>
        </w:tc>
      </w:tr>
      <w:tr w:rsidR="00750FB0" w:rsidRPr="00B42730" w:rsidTr="00750FB0">
        <w:tc>
          <w:tcPr>
            <w:tcW w:w="8505" w:type="dxa"/>
          </w:tcPr>
          <w:p w:rsidR="00750FB0" w:rsidRPr="00750FB0" w:rsidRDefault="00750FB0" w:rsidP="00A66DE9">
            <w:pPr>
              <w:pStyle w:val="toelichtingvraaginsprong1"/>
            </w:pPr>
            <w:r w:rsidRPr="00750FB0">
              <w:t>Les extincteurs portatifs sont peints en rouge et clairement signalés.</w:t>
            </w:r>
          </w:p>
        </w:tc>
        <w:tc>
          <w:tcPr>
            <w:tcW w:w="4925" w:type="dxa"/>
          </w:tcPr>
          <w:p w:rsidR="00750FB0" w:rsidRPr="00750FB0" w:rsidRDefault="00750FB0" w:rsidP="00750FB0">
            <w:pPr>
              <w:rPr>
                <w:lang w:val="fr-FR"/>
              </w:rPr>
            </w:pPr>
          </w:p>
        </w:tc>
      </w:tr>
      <w:tr w:rsidR="00750FB0" w:rsidRPr="00B42730" w:rsidTr="00750FB0">
        <w:tc>
          <w:tcPr>
            <w:tcW w:w="8505" w:type="dxa"/>
          </w:tcPr>
          <w:p w:rsidR="00750FB0" w:rsidRPr="00750FB0" w:rsidRDefault="00750FB0" w:rsidP="00A66DE9">
            <w:pPr>
              <w:pStyle w:val="Kop3"/>
            </w:pPr>
            <w:r w:rsidRPr="00750FB0">
              <w:t>Rupture du réservoir du camion- ou du wagon-citerne à cause d’un incendie</w:t>
            </w:r>
          </w:p>
        </w:tc>
        <w:tc>
          <w:tcPr>
            <w:tcW w:w="4925" w:type="dxa"/>
          </w:tcPr>
          <w:p w:rsidR="00750FB0" w:rsidRPr="00750FB0" w:rsidRDefault="00750FB0" w:rsidP="00750FB0">
            <w:pPr>
              <w:rPr>
                <w:lang w:val="fr-FR"/>
              </w:rPr>
            </w:pPr>
          </w:p>
        </w:tc>
      </w:tr>
      <w:tr w:rsidR="00750FB0" w:rsidRPr="00B42730" w:rsidTr="00750FB0">
        <w:tc>
          <w:tcPr>
            <w:tcW w:w="8505" w:type="dxa"/>
          </w:tcPr>
          <w:p w:rsidR="00750FB0" w:rsidRPr="00750FB0" w:rsidRDefault="00750FB0" w:rsidP="00A66DE9">
            <w:pPr>
              <w:pStyle w:val="Mesure"/>
              <w:rPr>
                <w:szCs w:val="20"/>
              </w:rPr>
            </w:pPr>
            <w:r w:rsidRPr="00750FB0">
              <w:t>Système fixe d’arrosage d’eau autour du camion- ou du wagon-citerne</w:t>
            </w:r>
          </w:p>
        </w:tc>
        <w:tc>
          <w:tcPr>
            <w:tcW w:w="4925" w:type="dxa"/>
          </w:tcPr>
          <w:p w:rsidR="00750FB0" w:rsidRPr="00750FB0" w:rsidRDefault="00750FB0" w:rsidP="00750FB0">
            <w:pPr>
              <w:rPr>
                <w:lang w:val="fr-FR"/>
              </w:rPr>
            </w:pPr>
          </w:p>
        </w:tc>
      </w:tr>
      <w:tr w:rsidR="00750FB0" w:rsidRPr="00B42730" w:rsidTr="00750FB0">
        <w:tc>
          <w:tcPr>
            <w:tcW w:w="8505" w:type="dxa"/>
          </w:tcPr>
          <w:p w:rsidR="00750FB0" w:rsidRPr="00750FB0" w:rsidRDefault="00750FB0" w:rsidP="00A66DE9">
            <w:pPr>
              <w:pStyle w:val="Toelichtingvraag"/>
              <w:ind w:left="0"/>
              <w:rPr>
                <w:lang w:val="fr-BE"/>
              </w:rPr>
            </w:pPr>
            <w:r w:rsidRPr="00750FB0">
              <w:rPr>
                <w:lang w:val="fr-BE"/>
              </w:rPr>
              <w:t>On entend par système fixe d’arrosage d’eau:</w:t>
            </w:r>
          </w:p>
        </w:tc>
        <w:tc>
          <w:tcPr>
            <w:tcW w:w="4925" w:type="dxa"/>
          </w:tcPr>
          <w:p w:rsidR="00750FB0" w:rsidRPr="00750FB0" w:rsidRDefault="00750FB0" w:rsidP="00750FB0">
            <w:pPr>
              <w:rPr>
                <w:lang w:val="fr-BE"/>
              </w:rPr>
            </w:pPr>
          </w:p>
        </w:tc>
      </w:tr>
      <w:tr w:rsidR="00750FB0" w:rsidRPr="00750FB0" w:rsidTr="00750FB0">
        <w:tc>
          <w:tcPr>
            <w:tcW w:w="8505" w:type="dxa"/>
          </w:tcPr>
          <w:p w:rsidR="00750FB0" w:rsidRPr="00750FB0" w:rsidRDefault="00750FB0" w:rsidP="00A66DE9">
            <w:pPr>
              <w:pStyle w:val="Toelichtingvraag"/>
              <w:numPr>
                <w:ilvl w:val="0"/>
                <w:numId w:val="11"/>
              </w:numPr>
            </w:pPr>
            <w:r w:rsidRPr="00750FB0">
              <w:t>les systèmes de déluge</w:t>
            </w:r>
          </w:p>
        </w:tc>
        <w:tc>
          <w:tcPr>
            <w:tcW w:w="4925" w:type="dxa"/>
          </w:tcPr>
          <w:p w:rsidR="00750FB0" w:rsidRPr="00750FB0" w:rsidRDefault="00750FB0" w:rsidP="00750FB0"/>
        </w:tc>
      </w:tr>
      <w:tr w:rsidR="00750FB0" w:rsidRPr="00750FB0" w:rsidTr="00750FB0">
        <w:tc>
          <w:tcPr>
            <w:tcW w:w="8505" w:type="dxa"/>
          </w:tcPr>
          <w:p w:rsidR="00750FB0" w:rsidRPr="00750FB0" w:rsidRDefault="00750FB0" w:rsidP="00A66DE9">
            <w:pPr>
              <w:pStyle w:val="Toelichtingvraag"/>
              <w:numPr>
                <w:ilvl w:val="0"/>
                <w:numId w:val="11"/>
              </w:numPr>
              <w:rPr>
                <w:lang w:val="nl-BE"/>
              </w:rPr>
            </w:pPr>
            <w:r w:rsidRPr="00750FB0">
              <w:t>les lances incendie.</w:t>
            </w:r>
          </w:p>
        </w:tc>
        <w:tc>
          <w:tcPr>
            <w:tcW w:w="4925" w:type="dxa"/>
          </w:tcPr>
          <w:p w:rsidR="00750FB0" w:rsidRPr="00750FB0" w:rsidRDefault="00750FB0" w:rsidP="00750FB0"/>
        </w:tc>
      </w:tr>
      <w:tr w:rsidR="00750FB0" w:rsidRPr="00B42730" w:rsidTr="00750FB0">
        <w:tc>
          <w:tcPr>
            <w:tcW w:w="8505" w:type="dxa"/>
          </w:tcPr>
          <w:p w:rsidR="00750FB0" w:rsidRPr="00750FB0" w:rsidRDefault="00750FB0" w:rsidP="00A66DE9">
            <w:pPr>
              <w:pStyle w:val="Toelichtingvraag"/>
              <w:ind w:left="0"/>
              <w:rPr>
                <w:lang w:val="fr-BE"/>
              </w:rPr>
            </w:pPr>
            <w:r w:rsidRPr="00750FB0">
              <w:rPr>
                <w:lang w:val="fr-BE"/>
              </w:rPr>
              <w:t>API 2510 ne permet pas l’usage de boyaux à incendie ou de lances incendie portables comme unique manière de protéger des réservoirs de LPG contre l’incendie.</w:t>
            </w:r>
          </w:p>
        </w:tc>
        <w:tc>
          <w:tcPr>
            <w:tcW w:w="4925" w:type="dxa"/>
          </w:tcPr>
          <w:p w:rsidR="00750FB0" w:rsidRPr="00750FB0" w:rsidRDefault="00750FB0" w:rsidP="00750FB0">
            <w:pPr>
              <w:rPr>
                <w:lang w:val="fr-BE"/>
              </w:rPr>
            </w:pPr>
          </w:p>
        </w:tc>
      </w:tr>
      <w:tr w:rsidR="00750FB0" w:rsidRPr="00750FB0" w:rsidTr="00750FB0">
        <w:tc>
          <w:tcPr>
            <w:tcW w:w="8505" w:type="dxa"/>
          </w:tcPr>
          <w:p w:rsidR="00750FB0" w:rsidRPr="00750FB0" w:rsidRDefault="00750FB0" w:rsidP="00A66DE9">
            <w:pPr>
              <w:pStyle w:val="Toelichtingvraag"/>
              <w:ind w:left="0"/>
              <w:rPr>
                <w:lang w:val="nl-BE"/>
              </w:rPr>
            </w:pPr>
            <w:r w:rsidRPr="00750FB0">
              <w:rPr>
                <w:lang w:val="nl-BE"/>
              </w:rPr>
              <w:t>Lances incendie</w:t>
            </w:r>
          </w:p>
        </w:tc>
        <w:tc>
          <w:tcPr>
            <w:tcW w:w="4925" w:type="dxa"/>
          </w:tcPr>
          <w:p w:rsidR="00750FB0" w:rsidRPr="00750FB0" w:rsidRDefault="00750FB0" w:rsidP="00750FB0">
            <w:pPr>
              <w:rPr>
                <w:lang w:val="nl-BE"/>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t>liées en permanence au réseau d’eau incendie</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t>la surface totale peut être atteinte</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t>accessibles et commandables en sécurité en cas d’incendie ou à activer et à diriger à distance</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t>les buses sont adaptables de manière à pouvoir former aussi bien un jet d’eau que des gouttes d’eau</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t xml:space="preserve">débit de dosage: selon un code de bonne pratique; l’API2510 donne 20 </w:t>
            </w:r>
            <w:r w:rsidRPr="00750FB0">
              <w:rPr>
                <w:rFonts w:cs="TTE1404D78t00"/>
              </w:rPr>
              <w:t xml:space="preserve">l/min/m² </w:t>
            </w:r>
            <w:r w:rsidRPr="00750FB0">
              <w:t xml:space="preserve"> comme valeur minimale</w:t>
            </w:r>
          </w:p>
        </w:tc>
        <w:tc>
          <w:tcPr>
            <w:tcW w:w="4925" w:type="dxa"/>
          </w:tcPr>
          <w:p w:rsidR="00750FB0" w:rsidRPr="00B42730" w:rsidRDefault="00750FB0" w:rsidP="00750FB0">
            <w:pPr>
              <w:rPr>
                <w:lang w:val="fr-FR"/>
              </w:rPr>
            </w:pPr>
          </w:p>
        </w:tc>
      </w:tr>
      <w:tr w:rsidR="00750FB0" w:rsidRPr="00750FB0" w:rsidTr="00750FB0">
        <w:tc>
          <w:tcPr>
            <w:tcW w:w="8505" w:type="dxa"/>
          </w:tcPr>
          <w:p w:rsidR="00750FB0" w:rsidRPr="00750FB0" w:rsidRDefault="00750FB0" w:rsidP="00A66DE9">
            <w:pPr>
              <w:pStyle w:val="Toelichtingvraag"/>
              <w:ind w:left="0"/>
              <w:rPr>
                <w:lang w:val="nl-BE"/>
              </w:rPr>
            </w:pPr>
            <w:r w:rsidRPr="00750FB0">
              <w:rPr>
                <w:lang w:val="nl-BE"/>
              </w:rPr>
              <w:t>Systèmes déluge</w:t>
            </w:r>
          </w:p>
        </w:tc>
        <w:tc>
          <w:tcPr>
            <w:tcW w:w="4925" w:type="dxa"/>
          </w:tcPr>
          <w:p w:rsidR="00750FB0" w:rsidRPr="00750FB0" w:rsidRDefault="00750FB0" w:rsidP="00750FB0">
            <w:pPr>
              <w:rPr>
                <w:lang w:val="nl-BE"/>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t>Le système peut être activé à partir d’un endroit sûr.</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1"/>
              <w:numPr>
                <w:ilvl w:val="1"/>
                <w:numId w:val="23"/>
              </w:numPr>
            </w:pPr>
            <w:r w:rsidRPr="00750FB0">
              <w:lastRenderedPageBreak/>
              <w:t xml:space="preserve">Débit de dosage: selon un code de bonne pratique ; l’API 2510 donne 20 </w:t>
            </w:r>
            <w:r w:rsidRPr="00750FB0">
              <w:rPr>
                <w:rFonts w:cs="TTE1404D78t00"/>
              </w:rPr>
              <w:t xml:space="preserve">l/min/m² </w:t>
            </w:r>
            <w:r w:rsidRPr="00750FB0">
              <w:t xml:space="preserve"> comme valeur minimale, à augmenter jusque 25 </w:t>
            </w:r>
            <w:r w:rsidRPr="00750FB0">
              <w:rPr>
                <w:rFonts w:cs="TTE1404D78t00"/>
              </w:rPr>
              <w:t>l/min/m² si le réservoir peut être encerclé de flammes.</w:t>
            </w:r>
          </w:p>
        </w:tc>
        <w:tc>
          <w:tcPr>
            <w:tcW w:w="4925" w:type="dxa"/>
          </w:tcPr>
          <w:p w:rsidR="00750FB0" w:rsidRPr="00B42730" w:rsidRDefault="00750FB0" w:rsidP="00750FB0">
            <w:pPr>
              <w:rPr>
                <w:lang w:val="fr-FR"/>
              </w:rPr>
            </w:pPr>
          </w:p>
        </w:tc>
      </w:tr>
      <w:tr w:rsidR="00750FB0" w:rsidRPr="00750FB0" w:rsidTr="00750FB0">
        <w:tc>
          <w:tcPr>
            <w:tcW w:w="8505" w:type="dxa"/>
          </w:tcPr>
          <w:p w:rsidR="00750FB0" w:rsidRPr="00750FB0" w:rsidRDefault="00750FB0" w:rsidP="00A66DE9">
            <w:pPr>
              <w:pStyle w:val="Toelichtingvraag"/>
              <w:ind w:left="0"/>
              <w:rPr>
                <w:lang w:val="fr-BE"/>
              </w:rPr>
            </w:pPr>
            <w:r w:rsidRPr="00750FB0">
              <w:rPr>
                <w:lang w:val="fr-BE"/>
              </w:rPr>
              <w:t>Inspection et entretien</w:t>
            </w:r>
          </w:p>
        </w:tc>
        <w:tc>
          <w:tcPr>
            <w:tcW w:w="4925" w:type="dxa"/>
          </w:tcPr>
          <w:p w:rsidR="00750FB0" w:rsidRPr="00750FB0" w:rsidRDefault="00750FB0" w:rsidP="00750FB0">
            <w:pPr>
              <w:rPr>
                <w:lang w:val="fr-BE"/>
              </w:rPr>
            </w:pPr>
          </w:p>
        </w:tc>
      </w:tr>
      <w:tr w:rsidR="00750FB0" w:rsidRPr="00750FB0" w:rsidTr="00750FB0">
        <w:tc>
          <w:tcPr>
            <w:tcW w:w="8505" w:type="dxa"/>
          </w:tcPr>
          <w:p w:rsidR="00750FB0" w:rsidRPr="00750FB0" w:rsidRDefault="00750FB0" w:rsidP="00A66DE9">
            <w:pPr>
              <w:pStyle w:val="toelichtingvraaginsprong1"/>
              <w:numPr>
                <w:ilvl w:val="1"/>
                <w:numId w:val="23"/>
              </w:numPr>
              <w:rPr>
                <w:rFonts w:cs="TTE1404D78t00"/>
              </w:rPr>
            </w:pPr>
            <w:r w:rsidRPr="00750FB0">
              <w:t xml:space="preserve">Le système fixe d'extinction est repris dans un programme d'inspection ou d'entretien. </w:t>
            </w:r>
            <w:r w:rsidRPr="00750FB0">
              <w:rPr>
                <w:rFonts w:cs="TTE1404D78t00"/>
              </w:rPr>
              <w:t>Cela comprend au moins:</w:t>
            </w:r>
          </w:p>
        </w:tc>
        <w:tc>
          <w:tcPr>
            <w:tcW w:w="4925" w:type="dxa"/>
          </w:tcPr>
          <w:p w:rsidR="00750FB0" w:rsidRPr="00750FB0" w:rsidRDefault="00750FB0" w:rsidP="00750FB0"/>
        </w:tc>
      </w:tr>
      <w:tr w:rsidR="00750FB0" w:rsidRPr="00B42730" w:rsidTr="00750FB0">
        <w:tc>
          <w:tcPr>
            <w:tcW w:w="8505" w:type="dxa"/>
          </w:tcPr>
          <w:p w:rsidR="00750FB0" w:rsidRPr="00750FB0" w:rsidRDefault="00750FB0" w:rsidP="00A66DE9">
            <w:pPr>
              <w:pStyle w:val="toelichtingvraaginsprong2"/>
            </w:pPr>
            <w:r w:rsidRPr="00750FB0">
              <w:t xml:space="preserve">des tests live des systèmes de déluge et des lances incendie (fréquence indicative: annuel) </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2"/>
            </w:pPr>
            <w:r w:rsidRPr="00750FB0">
              <w:t>inspection annuelle du bon état des tuyauteries d’incendie</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2"/>
            </w:pPr>
            <w:r w:rsidRPr="00750FB0">
              <w:t>des tests de fonctionnement des pompes d’eau d’extinction (fréquence guide: mensuels)</w:t>
            </w:r>
          </w:p>
        </w:tc>
        <w:tc>
          <w:tcPr>
            <w:tcW w:w="4925" w:type="dxa"/>
          </w:tcPr>
          <w:p w:rsidR="00750FB0" w:rsidRPr="00B42730" w:rsidRDefault="00750FB0" w:rsidP="00750FB0">
            <w:pPr>
              <w:rPr>
                <w:lang w:val="fr-FR"/>
              </w:rPr>
            </w:pPr>
          </w:p>
        </w:tc>
      </w:tr>
      <w:tr w:rsidR="00750FB0" w:rsidRPr="00B42730" w:rsidTr="00750FB0">
        <w:tc>
          <w:tcPr>
            <w:tcW w:w="8505" w:type="dxa"/>
          </w:tcPr>
          <w:p w:rsidR="00750FB0" w:rsidRPr="00750FB0" w:rsidRDefault="00750FB0" w:rsidP="00A66DE9">
            <w:pPr>
              <w:pStyle w:val="toelichtingvraaginsprong2"/>
            </w:pPr>
            <w:r w:rsidRPr="00750FB0">
              <w:t>inspection du réservoir et du réseau d’eau d’extinction.</w:t>
            </w:r>
          </w:p>
        </w:tc>
        <w:tc>
          <w:tcPr>
            <w:tcW w:w="4925" w:type="dxa"/>
          </w:tcPr>
          <w:p w:rsidR="00750FB0" w:rsidRPr="00B42730" w:rsidRDefault="00750FB0" w:rsidP="00750FB0">
            <w:pPr>
              <w:rPr>
                <w:lang w:val="fr-FR"/>
              </w:rPr>
            </w:pPr>
          </w:p>
        </w:tc>
      </w:tr>
      <w:tr w:rsidR="00750FB0" w:rsidRPr="00750FB0" w:rsidTr="00750FB0">
        <w:tc>
          <w:tcPr>
            <w:tcW w:w="8505" w:type="dxa"/>
          </w:tcPr>
          <w:p w:rsidR="00750FB0" w:rsidRPr="00750FB0" w:rsidRDefault="00750FB0" w:rsidP="00A66DE9">
            <w:pPr>
              <w:pStyle w:val="Kop3"/>
            </w:pPr>
            <w:r w:rsidRPr="00750FB0">
              <w:t>Brûlures du personnel</w:t>
            </w:r>
          </w:p>
        </w:tc>
        <w:tc>
          <w:tcPr>
            <w:tcW w:w="4925" w:type="dxa"/>
          </w:tcPr>
          <w:p w:rsidR="00750FB0" w:rsidRPr="00750FB0" w:rsidRDefault="00750FB0" w:rsidP="00750FB0"/>
        </w:tc>
      </w:tr>
      <w:tr w:rsidR="00750FB0" w:rsidRPr="00B42730" w:rsidTr="00750FB0">
        <w:tc>
          <w:tcPr>
            <w:tcW w:w="8505" w:type="dxa"/>
          </w:tcPr>
          <w:p w:rsidR="00750FB0" w:rsidRPr="00750FB0" w:rsidRDefault="00750FB0" w:rsidP="00A66DE9">
            <w:pPr>
              <w:pStyle w:val="vraag0"/>
              <w:numPr>
                <w:ilvl w:val="0"/>
                <w:numId w:val="2"/>
              </w:numPr>
              <w:tabs>
                <w:tab w:val="clear" w:pos="3686"/>
                <w:tab w:val="num" w:pos="567"/>
              </w:tabs>
              <w:ind w:left="567"/>
              <w:rPr>
                <w:b/>
                <w:i w:val="0"/>
                <w:sz w:val="20"/>
                <w:szCs w:val="20"/>
              </w:rPr>
            </w:pPr>
            <w:r w:rsidRPr="00750FB0">
              <w:rPr>
                <w:b/>
                <w:i w:val="0"/>
                <w:sz w:val="20"/>
                <w:szCs w:val="20"/>
              </w:rPr>
              <w:t>Vêtements retardateurs de flamme pour les opérateurs de (dé)chargement</w:t>
            </w:r>
          </w:p>
        </w:tc>
        <w:tc>
          <w:tcPr>
            <w:tcW w:w="4925" w:type="dxa"/>
          </w:tcPr>
          <w:p w:rsidR="00750FB0" w:rsidRPr="00B42730" w:rsidRDefault="00750FB0" w:rsidP="00750FB0">
            <w:pPr>
              <w:rPr>
                <w:b/>
                <w:i/>
                <w:szCs w:val="20"/>
                <w:lang w:val="fr-FR"/>
              </w:rPr>
            </w:pPr>
          </w:p>
        </w:tc>
      </w:tr>
      <w:tr w:rsidR="00750FB0" w:rsidRPr="00B42730" w:rsidTr="00750FB0">
        <w:tc>
          <w:tcPr>
            <w:tcW w:w="8505" w:type="dxa"/>
          </w:tcPr>
          <w:p w:rsidR="00750FB0" w:rsidRPr="00750FB0" w:rsidRDefault="00750FB0" w:rsidP="00A66DE9">
            <w:pPr>
              <w:pStyle w:val="Toelichtingvraag"/>
              <w:ind w:left="0"/>
              <w:rPr>
                <w:lang w:val="fr-BE"/>
              </w:rPr>
            </w:pPr>
            <w:r w:rsidRPr="00750FB0">
              <w:rPr>
                <w:lang w:val="fr-BE"/>
              </w:rPr>
              <w:t xml:space="preserve">Des vêtements retardateurs de flamme offrent à la personne qui les porte une protection contre le feu et le rayonnement de chaleur. </w:t>
            </w:r>
          </w:p>
        </w:tc>
        <w:tc>
          <w:tcPr>
            <w:tcW w:w="4925" w:type="dxa"/>
          </w:tcPr>
          <w:p w:rsidR="00750FB0" w:rsidRPr="00750FB0" w:rsidRDefault="00750FB0" w:rsidP="00750FB0">
            <w:pPr>
              <w:rPr>
                <w:lang w:val="fr-BE"/>
              </w:rPr>
            </w:pPr>
          </w:p>
        </w:tc>
      </w:tr>
      <w:tr w:rsidR="00750FB0" w:rsidRPr="00B42730" w:rsidTr="00750FB0">
        <w:tc>
          <w:tcPr>
            <w:tcW w:w="8505" w:type="dxa"/>
          </w:tcPr>
          <w:p w:rsidR="00750FB0" w:rsidRPr="00750FB0" w:rsidRDefault="00750FB0" w:rsidP="00A66DE9">
            <w:pPr>
              <w:pStyle w:val="Toelichtingvraag"/>
              <w:ind w:left="0"/>
              <w:rPr>
                <w:b/>
                <w:lang w:val="fr-BE"/>
              </w:rPr>
            </w:pPr>
            <w:r w:rsidRPr="00750FB0">
              <w:rPr>
                <w:rFonts w:cs="TTE1404D78t00"/>
                <w:lang w:val="fr-BE"/>
              </w:rPr>
              <w:t>De tels vêtements font l’objet de la norme NBN EN ISO 11612 Vêtements de protection - Vêtements de protection contre la chaleur et les flammes.</w:t>
            </w:r>
          </w:p>
        </w:tc>
        <w:tc>
          <w:tcPr>
            <w:tcW w:w="4925" w:type="dxa"/>
          </w:tcPr>
          <w:p w:rsidR="00750FB0" w:rsidRPr="00750FB0" w:rsidRDefault="00750FB0" w:rsidP="00750FB0">
            <w:pPr>
              <w:rPr>
                <w:rFonts w:cs="TTE1404D78t00"/>
                <w:lang w:val="fr-BE"/>
              </w:rPr>
            </w:pPr>
          </w:p>
        </w:tc>
      </w:tr>
    </w:tbl>
    <w:p w:rsidR="006F3BC2" w:rsidRPr="0052522C" w:rsidRDefault="006F3BC2">
      <w:pPr>
        <w:rPr>
          <w:lang w:val="fr-BE"/>
        </w:rPr>
      </w:pPr>
    </w:p>
    <w:p w:rsidR="009770C9" w:rsidRPr="0052522C" w:rsidRDefault="009770C9" w:rsidP="009770C9">
      <w:pPr>
        <w:rPr>
          <w:lang w:val="fr-BE"/>
        </w:rPr>
      </w:pPr>
      <w:bookmarkStart w:id="27" w:name="_Toc353309791"/>
      <w:bookmarkStart w:id="28" w:name="_Toc353971612"/>
      <w:bookmarkStart w:id="29" w:name="_Toc357609647"/>
      <w:bookmarkEnd w:id="27"/>
      <w:bookmarkEnd w:id="28"/>
      <w:bookmarkEnd w:id="29"/>
    </w:p>
    <w:p w:rsidR="009770C9" w:rsidRPr="0052522C" w:rsidRDefault="009770C9" w:rsidP="009770C9">
      <w:pPr>
        <w:rPr>
          <w:lang w:val="fr-BE"/>
        </w:rPr>
        <w:sectPr w:rsidR="009770C9" w:rsidRPr="0052522C" w:rsidSect="005A6F16">
          <w:footerReference w:type="even" r:id="rId16"/>
          <w:footerReference w:type="default" r:id="rId17"/>
          <w:type w:val="oddPage"/>
          <w:pgSz w:w="16838" w:h="11906" w:orient="landscape" w:code="9"/>
          <w:pgMar w:top="1418" w:right="1418" w:bottom="1418" w:left="1418" w:header="709" w:footer="709" w:gutter="0"/>
          <w:cols w:space="708"/>
          <w:docGrid w:linePitch="360"/>
        </w:sectPr>
      </w:pPr>
    </w:p>
    <w:p w:rsidR="00B35C91" w:rsidRPr="0052522C" w:rsidRDefault="00B35C91" w:rsidP="00B35C91">
      <w:pPr>
        <w:rPr>
          <w:szCs w:val="20"/>
          <w:lang w:val="fr-BE"/>
        </w:rPr>
      </w:pPr>
    </w:p>
    <w:p w:rsidR="00B35C91" w:rsidRPr="00013197" w:rsidRDefault="00B35C91" w:rsidP="005A6F16">
      <w:pPr>
        <w:pStyle w:val="Kop1"/>
        <w:spacing w:before="600"/>
        <w:ind w:left="2268" w:firstLine="6095"/>
      </w:pPr>
      <w:r w:rsidRPr="0052522C">
        <w:br/>
      </w:r>
      <w:bookmarkStart w:id="30" w:name="_Toc496177873"/>
      <w:r w:rsidRPr="00013197">
        <w:t xml:space="preserve">Postes de (dé)chargement </w:t>
      </w:r>
      <w:r w:rsidR="000E7EA7" w:rsidRPr="00013197">
        <w:t xml:space="preserve">pour </w:t>
      </w:r>
      <w:r w:rsidRPr="00013197">
        <w:t>bateaux</w:t>
      </w:r>
      <w:bookmarkEnd w:id="30"/>
    </w:p>
    <w:p w:rsidR="00672EFF" w:rsidRPr="0052522C" w:rsidRDefault="00672EFF" w:rsidP="00A70AF4">
      <w:pPr>
        <w:pStyle w:val="Kop2"/>
      </w:pPr>
      <w:bookmarkStart w:id="31" w:name="_Toc496177874"/>
      <w:r w:rsidRPr="0052522C">
        <w:t>Signalisation</w:t>
      </w:r>
      <w:bookmarkEnd w:id="31"/>
    </w:p>
    <w:tbl>
      <w:tblPr>
        <w:tblStyle w:val="Tabelraster"/>
        <w:tblW w:w="0" w:type="auto"/>
        <w:tblInd w:w="567" w:type="dxa"/>
        <w:tblLook w:val="04A0" w:firstRow="1" w:lastRow="0" w:firstColumn="1" w:lastColumn="0" w:noHBand="0" w:noVBand="1"/>
      </w:tblPr>
      <w:tblGrid>
        <w:gridCol w:w="8500"/>
        <w:gridCol w:w="4925"/>
      </w:tblGrid>
      <w:tr w:rsidR="00F16DCF" w:rsidRPr="00B42730" w:rsidTr="00F16DCF">
        <w:tc>
          <w:tcPr>
            <w:tcW w:w="8500" w:type="dxa"/>
          </w:tcPr>
          <w:p w:rsidR="00F16DCF" w:rsidRPr="00F16DCF" w:rsidRDefault="00F16DCF" w:rsidP="00A66DE9">
            <w:pPr>
              <w:pStyle w:val="Mesure"/>
            </w:pPr>
            <w:r w:rsidRPr="00F16DCF">
              <w:t>Signalisation des points de connexion pour bateaux</w:t>
            </w:r>
          </w:p>
        </w:tc>
        <w:tc>
          <w:tcPr>
            <w:tcW w:w="4925" w:type="dxa"/>
          </w:tcPr>
          <w:p w:rsidR="00F16DCF" w:rsidRPr="00F16DCF" w:rsidRDefault="00F16DCF" w:rsidP="00F16DCF">
            <w:pPr>
              <w:rPr>
                <w:lang w:val="fr-BE"/>
              </w:rPr>
            </w:pPr>
          </w:p>
        </w:tc>
      </w:tr>
      <w:tr w:rsidR="00F16DCF" w:rsidRPr="00F16DCF" w:rsidTr="00F16DCF">
        <w:tc>
          <w:tcPr>
            <w:tcW w:w="8500" w:type="dxa"/>
          </w:tcPr>
          <w:p w:rsidR="00F16DCF" w:rsidRPr="00F16DCF" w:rsidRDefault="00F16DCF" w:rsidP="00A66DE9">
            <w:pPr>
              <w:pStyle w:val="Toelichtingvraag"/>
              <w:ind w:left="0"/>
            </w:pPr>
            <w:r w:rsidRPr="00F16DCF">
              <w:t>Indication:</w:t>
            </w:r>
          </w:p>
        </w:tc>
        <w:tc>
          <w:tcPr>
            <w:tcW w:w="4925" w:type="dxa"/>
          </w:tcPr>
          <w:p w:rsidR="00F16DCF" w:rsidRPr="00F16DCF" w:rsidRDefault="00F16DCF" w:rsidP="00F16DCF"/>
        </w:tc>
      </w:tr>
      <w:tr w:rsidR="00F16DCF" w:rsidRPr="00B42730" w:rsidTr="00F16DCF">
        <w:tc>
          <w:tcPr>
            <w:tcW w:w="8500" w:type="dxa"/>
          </w:tcPr>
          <w:p w:rsidR="00F16DCF" w:rsidRPr="00F16DCF" w:rsidRDefault="00F16DCF" w:rsidP="00A66DE9">
            <w:pPr>
              <w:pStyle w:val="toelichtingvraaginsprong1"/>
            </w:pPr>
            <w:r w:rsidRPr="00F16DCF">
              <w:t>du produit qui est (dé)chargé</w:t>
            </w:r>
          </w:p>
        </w:tc>
        <w:tc>
          <w:tcPr>
            <w:tcW w:w="4925" w:type="dxa"/>
          </w:tcPr>
          <w:p w:rsidR="00F16DCF" w:rsidRPr="00B42730" w:rsidRDefault="00F16DCF" w:rsidP="00F16DCF">
            <w:pPr>
              <w:rPr>
                <w:lang w:val="fr-FR"/>
              </w:rPr>
            </w:pPr>
          </w:p>
        </w:tc>
      </w:tr>
      <w:tr w:rsidR="00F16DCF" w:rsidRPr="00B42730" w:rsidTr="00F16DCF">
        <w:tc>
          <w:tcPr>
            <w:tcW w:w="8500" w:type="dxa"/>
          </w:tcPr>
          <w:p w:rsidR="00F16DCF" w:rsidRPr="00F16DCF" w:rsidRDefault="00F16DCF" w:rsidP="00A66DE9">
            <w:pPr>
              <w:pStyle w:val="toelichtingvraaginsprong1"/>
            </w:pPr>
            <w:r w:rsidRPr="00F16DCF">
              <w:t>de la position de la vanne (ouvert / fermé)</w:t>
            </w:r>
          </w:p>
        </w:tc>
        <w:tc>
          <w:tcPr>
            <w:tcW w:w="4925" w:type="dxa"/>
          </w:tcPr>
          <w:p w:rsidR="00F16DCF" w:rsidRPr="00B42730" w:rsidRDefault="00F16DCF" w:rsidP="00F16DCF">
            <w:pPr>
              <w:rPr>
                <w:lang w:val="fr-FR"/>
              </w:rPr>
            </w:pPr>
          </w:p>
        </w:tc>
      </w:tr>
      <w:tr w:rsidR="00F16DCF" w:rsidRPr="00F16DCF" w:rsidTr="00F16DCF">
        <w:tc>
          <w:tcPr>
            <w:tcW w:w="8500" w:type="dxa"/>
          </w:tcPr>
          <w:p w:rsidR="00F16DCF" w:rsidRPr="00F16DCF" w:rsidRDefault="00F16DCF" w:rsidP="00A66DE9">
            <w:pPr>
              <w:pStyle w:val="insprong2bolleke"/>
            </w:pPr>
            <w:r w:rsidRPr="00F16DCF">
              <w:t>du sens d’écoulement.</w:t>
            </w:r>
          </w:p>
        </w:tc>
        <w:tc>
          <w:tcPr>
            <w:tcW w:w="4925" w:type="dxa"/>
          </w:tcPr>
          <w:p w:rsidR="00F16DCF" w:rsidRPr="00F16DCF" w:rsidRDefault="00F16DCF" w:rsidP="00F16DCF"/>
        </w:tc>
      </w:tr>
    </w:tbl>
    <w:p w:rsidR="00C43C6F" w:rsidRPr="0052522C" w:rsidRDefault="00C43C6F" w:rsidP="00A70AF4">
      <w:pPr>
        <w:pStyle w:val="Kop2"/>
      </w:pPr>
      <w:bookmarkStart w:id="32" w:name="_Toc496177875"/>
      <w:r w:rsidRPr="0052522C">
        <w:t>Maîtrise des déviations de procédé</w:t>
      </w:r>
      <w:bookmarkEnd w:id="32"/>
    </w:p>
    <w:tbl>
      <w:tblPr>
        <w:tblStyle w:val="Tabelraster"/>
        <w:tblW w:w="0" w:type="auto"/>
        <w:tblInd w:w="562" w:type="dxa"/>
        <w:tblLook w:val="04A0" w:firstRow="1" w:lastRow="0" w:firstColumn="1" w:lastColumn="0" w:noHBand="0" w:noVBand="1"/>
      </w:tblPr>
      <w:tblGrid>
        <w:gridCol w:w="8505"/>
        <w:gridCol w:w="4925"/>
      </w:tblGrid>
      <w:tr w:rsidR="00CD2602" w:rsidRPr="00B42730" w:rsidTr="00CD2602">
        <w:tc>
          <w:tcPr>
            <w:tcW w:w="8505" w:type="dxa"/>
          </w:tcPr>
          <w:p w:rsidR="00CD2602" w:rsidRPr="00CD2602" w:rsidRDefault="00CD2602" w:rsidP="00A66DE9">
            <w:pPr>
              <w:pStyle w:val="Kop3"/>
            </w:pPr>
            <w:r w:rsidRPr="00CD2602">
              <w:t>Mise sous pression du réservoir de chargement du bateau par la pompe de remplissage</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C97535">
            <w:pPr>
              <w:pStyle w:val="Toelichtingscenario"/>
              <w:spacing w:before="120" w:after="120"/>
              <w:rPr>
                <w:lang w:val="fr-BE"/>
              </w:rPr>
            </w:pPr>
            <w:r w:rsidRPr="00CD2602">
              <w:rPr>
                <w:lang w:val="fr-BE"/>
              </w:rPr>
              <w:t xml:space="preserve">Il existe différentes causes possibles pouvant mener à la mise sous pression du réservoir de chargement du bateau via la pompe de remplissage. Celles-ci dépendent de la manière dont </w:t>
            </w:r>
            <w:r w:rsidRPr="00CD2602">
              <w:rPr>
                <w:lang w:val="fr-BE"/>
              </w:rPr>
              <w:lastRenderedPageBreak/>
              <w:t xml:space="preserve">le réservoir de chargement est rempli : avec retour vapeur, avec réglage de la pression ou sans retour vapeur. </w:t>
            </w:r>
          </w:p>
        </w:tc>
        <w:tc>
          <w:tcPr>
            <w:tcW w:w="4925" w:type="dxa"/>
          </w:tcPr>
          <w:p w:rsidR="00CD2602" w:rsidRPr="00CD2602" w:rsidRDefault="00CD2602" w:rsidP="00C97535">
            <w:pPr>
              <w:spacing w:before="120" w:after="120"/>
              <w:rPr>
                <w:lang w:val="fr-BE"/>
              </w:rPr>
            </w:pPr>
          </w:p>
        </w:tc>
      </w:tr>
      <w:tr w:rsidR="00CD2602" w:rsidRPr="00B42730" w:rsidTr="00CD2602">
        <w:tc>
          <w:tcPr>
            <w:tcW w:w="8505" w:type="dxa"/>
          </w:tcPr>
          <w:p w:rsidR="00CD2602" w:rsidRPr="00CD2602" w:rsidRDefault="00CD2602" w:rsidP="00C97535">
            <w:pPr>
              <w:pStyle w:val="Toelichtingscenario"/>
              <w:spacing w:before="120" w:after="120"/>
              <w:rPr>
                <w:lang w:val="fr-BE"/>
              </w:rPr>
            </w:pPr>
            <w:r w:rsidRPr="00CD2602">
              <w:rPr>
                <w:lang w:val="fr-BE"/>
              </w:rPr>
              <w:t>Lors d’un remplissage avec retour vapeur, la phase vapeur du bateau est en liaison permanente (via la conduite de retour vapeur) avec le réservoir d’où le remplissage a lieu. Cette méthode de travail est utilisée en présence de gaz inertes ou lorsque les vapeurs ne se condensent pas suffisamment rapidement pour prévenir une augmentation (trop élevée) de la pression dans le réservoir de chargement du bateau. Lorsqu’une vanne sur la conduite de retour vapeur, est fermée avant ou pendant le remplissage, le réservoir de chargement peut être mis sous pression via la pompe de remplissage.</w:t>
            </w:r>
          </w:p>
        </w:tc>
        <w:tc>
          <w:tcPr>
            <w:tcW w:w="4925" w:type="dxa"/>
          </w:tcPr>
          <w:p w:rsidR="00CD2602" w:rsidRPr="00CD2602" w:rsidRDefault="00CD2602" w:rsidP="00C97535">
            <w:pPr>
              <w:spacing w:before="120" w:after="120"/>
              <w:rPr>
                <w:lang w:val="fr-BE"/>
              </w:rPr>
            </w:pPr>
          </w:p>
        </w:tc>
      </w:tr>
      <w:tr w:rsidR="00CD2602" w:rsidRPr="00B42730" w:rsidTr="00CD2602">
        <w:tc>
          <w:tcPr>
            <w:tcW w:w="8505" w:type="dxa"/>
          </w:tcPr>
          <w:p w:rsidR="00CD2602" w:rsidRPr="00CD2602" w:rsidRDefault="00CD2602" w:rsidP="00C97535">
            <w:pPr>
              <w:pStyle w:val="Toelichtingscenario"/>
              <w:spacing w:before="120" w:after="120"/>
              <w:rPr>
                <w:lang w:val="fr-BE"/>
              </w:rPr>
            </w:pPr>
            <w:r w:rsidRPr="00CD2602">
              <w:rPr>
                <w:lang w:val="fr-BE"/>
              </w:rPr>
              <w:t>Lors d’un remplissage avec un réglage de la pression, la phase vapeur est reliée à une unité de traitement des effluents gazeux. De cette manière, des éventuels gaz inertes sont éliminés. La consigne du réglage de pression se situe typiquement un peu au-dessus de la pression d’équilibre du gaz. Dans cette configuration, une pression élevée peut apparaître à cause d’une vanne manuelle fermée dans la conduite des effluents gazeux ou à cause de la défaillance en position fermée de la vanne de régulation de la pression.</w:t>
            </w:r>
          </w:p>
        </w:tc>
        <w:tc>
          <w:tcPr>
            <w:tcW w:w="4925" w:type="dxa"/>
          </w:tcPr>
          <w:p w:rsidR="00CD2602" w:rsidRPr="00CD2602" w:rsidRDefault="00CD2602" w:rsidP="00C97535">
            <w:pPr>
              <w:spacing w:before="120" w:after="120"/>
              <w:rPr>
                <w:lang w:val="fr-BE"/>
              </w:rPr>
            </w:pPr>
          </w:p>
        </w:tc>
      </w:tr>
      <w:tr w:rsidR="00CD2602" w:rsidRPr="00B42730" w:rsidTr="00CD2602">
        <w:tc>
          <w:tcPr>
            <w:tcW w:w="8505" w:type="dxa"/>
          </w:tcPr>
          <w:p w:rsidR="00CD2602" w:rsidRPr="00CD2602" w:rsidRDefault="00CD2602" w:rsidP="00C97535">
            <w:pPr>
              <w:pStyle w:val="Toelichtingscenario"/>
              <w:spacing w:before="120" w:after="120"/>
              <w:rPr>
                <w:lang w:val="fr-BE"/>
              </w:rPr>
            </w:pPr>
            <w:r w:rsidRPr="00CD2602">
              <w:rPr>
                <w:lang w:val="fr-BE"/>
              </w:rPr>
              <w:t xml:space="preserve">Lors d’un remplissage sans retour vapeur, on compte sur le fait que la condensation de la phase vapeur a lieu suffisamment rapidement de sorte qu’il n’y ait aucune accumulation de vapeurs dans la phase gazeuse. Pour ce faire, on va s’assurer d’un bon contact entre la phase liquide et la phase vapeur, typiquement en alimentant la phase vapeur via une conduite de pulvérisation ou via la conduite de retour vapeur. Dans ce dernier cas, le liquide sera pulvérisé contre la partie supérieure du réservoir et formera ainsi un brouillard. Un remplissage sans phase vapeur est seulement possible lorsque l’on ne s’attend pas à avoir des gaz incondensables. Lorsque ceux-ci sont malgré tout présents, la pompe de remplissage peut mettre le réservoir sous pression. </w:t>
            </w:r>
          </w:p>
        </w:tc>
        <w:tc>
          <w:tcPr>
            <w:tcW w:w="4925" w:type="dxa"/>
          </w:tcPr>
          <w:p w:rsidR="00CD2602" w:rsidRPr="00CD2602" w:rsidRDefault="00CD2602" w:rsidP="00C97535">
            <w:pPr>
              <w:spacing w:before="120" w:after="120"/>
              <w:rPr>
                <w:lang w:val="fr-BE"/>
              </w:rPr>
            </w:pPr>
          </w:p>
        </w:tc>
      </w:tr>
      <w:tr w:rsidR="00CD2602" w:rsidRPr="00B42730" w:rsidTr="00CD2602">
        <w:tc>
          <w:tcPr>
            <w:tcW w:w="8505" w:type="dxa"/>
          </w:tcPr>
          <w:p w:rsidR="00CD2602" w:rsidRPr="00CD2602" w:rsidRDefault="00CD2602" w:rsidP="00C97535">
            <w:pPr>
              <w:pStyle w:val="Toelichtingscenario"/>
              <w:spacing w:before="120" w:after="120"/>
              <w:rPr>
                <w:lang w:val="fr-BE"/>
              </w:rPr>
            </w:pPr>
            <w:r w:rsidRPr="00CD2602">
              <w:rPr>
                <w:lang w:val="fr-BE"/>
              </w:rPr>
              <w:t>Si la pression de la pompe est suffisamment élevée, les soupapes de sécurité du réservoir de chargement du bateau peuvent être sollicitées, entraînant alors une libération de gaz. La limitation suffisante de la pression qui en découle dans le réservoir de chargement est fonction du dimensionnement des soupapes de sécurité. La sollicitation des soupapes de sécurité est considérée dans ce scénario comme un évènement indésiré. Pour ces raisons, les soupapes de sécurité sur le réservoir de chargement lui-même ne sont pas considérées comme une mesure.</w:t>
            </w:r>
          </w:p>
        </w:tc>
        <w:tc>
          <w:tcPr>
            <w:tcW w:w="4925" w:type="dxa"/>
          </w:tcPr>
          <w:p w:rsidR="00CD2602" w:rsidRPr="00CD2602" w:rsidRDefault="00CD2602" w:rsidP="00C97535">
            <w:pPr>
              <w:spacing w:before="120" w:after="120"/>
              <w:rPr>
                <w:lang w:val="fr-BE"/>
              </w:rPr>
            </w:pPr>
          </w:p>
        </w:tc>
      </w:tr>
      <w:tr w:rsidR="00CD2602" w:rsidRPr="00B42730" w:rsidTr="00CD2602">
        <w:tc>
          <w:tcPr>
            <w:tcW w:w="8505" w:type="dxa"/>
          </w:tcPr>
          <w:p w:rsidR="00CD2602" w:rsidRPr="00CD2602" w:rsidRDefault="00CD2602" w:rsidP="00A66DE9">
            <w:pPr>
              <w:pStyle w:val="Maatregel"/>
              <w:numPr>
                <w:ilvl w:val="0"/>
                <w:numId w:val="2"/>
              </w:numPr>
              <w:tabs>
                <w:tab w:val="clear" w:pos="3686"/>
                <w:tab w:val="num" w:pos="567"/>
              </w:tabs>
              <w:ind w:left="567"/>
              <w:rPr>
                <w:lang w:val="fr-BE"/>
              </w:rPr>
            </w:pPr>
            <w:r w:rsidRPr="00CD2602">
              <w:rPr>
                <w:lang w:val="fr-BE"/>
              </w:rPr>
              <w:t>Sécurité instrumentale contre une pression élevée</w:t>
            </w:r>
          </w:p>
        </w:tc>
        <w:tc>
          <w:tcPr>
            <w:tcW w:w="4925" w:type="dxa"/>
          </w:tcPr>
          <w:p w:rsidR="00CD2602" w:rsidRPr="00CD2602" w:rsidRDefault="00CD2602" w:rsidP="00CD2602">
            <w:pPr>
              <w:rPr>
                <w:lang w:val="fr-BE"/>
              </w:rPr>
            </w:pPr>
          </w:p>
        </w:tc>
      </w:tr>
      <w:tr w:rsidR="00CD2602" w:rsidRPr="00CD2602" w:rsidTr="00CD2602">
        <w:tc>
          <w:tcPr>
            <w:tcW w:w="8505" w:type="dxa"/>
          </w:tcPr>
          <w:p w:rsidR="00CD2602" w:rsidRPr="00CD2602" w:rsidRDefault="00CD2602" w:rsidP="00A66DE9">
            <w:pPr>
              <w:pStyle w:val="Toelichtingvraag"/>
              <w:ind w:left="0"/>
            </w:pPr>
            <w:r w:rsidRPr="00CD2602">
              <w:t>Actions</w:t>
            </w:r>
          </w:p>
        </w:tc>
        <w:tc>
          <w:tcPr>
            <w:tcW w:w="4925" w:type="dxa"/>
          </w:tcPr>
          <w:p w:rsidR="00CD2602" w:rsidRPr="00CD2602" w:rsidRDefault="00CD2602" w:rsidP="00CD2602"/>
        </w:tc>
      </w:tr>
      <w:tr w:rsidR="00CD2602" w:rsidRPr="00B42730" w:rsidTr="00CD2602">
        <w:tc>
          <w:tcPr>
            <w:tcW w:w="8505" w:type="dxa"/>
          </w:tcPr>
          <w:p w:rsidR="00CD2602" w:rsidRPr="00CD2602" w:rsidRDefault="00CD2602" w:rsidP="00A66DE9">
            <w:pPr>
              <w:pStyle w:val="toelichtingvraaginsprong1"/>
              <w:numPr>
                <w:ilvl w:val="1"/>
                <w:numId w:val="23"/>
              </w:numPr>
            </w:pPr>
            <w:r w:rsidRPr="00CD2602">
              <w:lastRenderedPageBreak/>
              <w:t>La pression est mesurée dans la tuyauterie de remplissage. Le remplissage est automatiquement arrêté lorsque le point de consigne est atteint. Le point de consigne se situe évidemment en-dessous de la pression maximale acceptable dans le réservoir. Si plusieurs gaz (avec différentes tensions de vapeur) sont chargés via le même point de remplissage, le point de consigne correct doit être réglé avant chaque chargement.</w:t>
            </w:r>
          </w:p>
        </w:tc>
        <w:tc>
          <w:tcPr>
            <w:tcW w:w="4925" w:type="dxa"/>
          </w:tcPr>
          <w:p w:rsidR="00CD2602" w:rsidRPr="00CD2602" w:rsidRDefault="00CD2602" w:rsidP="00CD2602">
            <w:pPr>
              <w:rPr>
                <w:lang w:val="fr-FR"/>
              </w:rPr>
            </w:pPr>
          </w:p>
        </w:tc>
      </w:tr>
      <w:tr w:rsidR="00CD2602" w:rsidRPr="00CD2602" w:rsidTr="00CD2602">
        <w:tc>
          <w:tcPr>
            <w:tcW w:w="8505" w:type="dxa"/>
          </w:tcPr>
          <w:p w:rsidR="00CD2602" w:rsidRPr="00CD2602" w:rsidRDefault="00CD2602" w:rsidP="00A66DE9">
            <w:pPr>
              <w:pStyle w:val="Toelichtingvraag"/>
              <w:ind w:left="0"/>
            </w:pPr>
            <w:r w:rsidRPr="00CD2602">
              <w:t>Indépendance</w:t>
            </w:r>
          </w:p>
        </w:tc>
        <w:tc>
          <w:tcPr>
            <w:tcW w:w="4925" w:type="dxa"/>
          </w:tcPr>
          <w:p w:rsidR="00CD2602" w:rsidRPr="00CD2602" w:rsidRDefault="00CD2602" w:rsidP="00CD2602"/>
        </w:tc>
      </w:tr>
      <w:tr w:rsidR="00CD2602" w:rsidRPr="00B42730" w:rsidTr="00CD2602">
        <w:tc>
          <w:tcPr>
            <w:tcW w:w="8505" w:type="dxa"/>
          </w:tcPr>
          <w:p w:rsidR="00CD2602" w:rsidRPr="00CD2602" w:rsidRDefault="00CD2602" w:rsidP="00A66DE9">
            <w:pPr>
              <w:pStyle w:val="toelichtingvraaginsprong1"/>
              <w:numPr>
                <w:ilvl w:val="1"/>
                <w:numId w:val="23"/>
              </w:numPr>
            </w:pPr>
            <w:r w:rsidRPr="00CD2602">
              <w:t>La sécurité est indépendante d’un contrôle de la pression dans le réservoir.</w:t>
            </w:r>
          </w:p>
        </w:tc>
        <w:tc>
          <w:tcPr>
            <w:tcW w:w="4925" w:type="dxa"/>
          </w:tcPr>
          <w:p w:rsidR="00CD2602" w:rsidRPr="00CD2602" w:rsidRDefault="00CD2602" w:rsidP="00CD2602">
            <w:pPr>
              <w:rPr>
                <w:lang w:val="fr-FR"/>
              </w:rPr>
            </w:pPr>
          </w:p>
        </w:tc>
      </w:tr>
      <w:tr w:rsidR="00CD2602" w:rsidRPr="00CD2602" w:rsidTr="00CD2602">
        <w:tc>
          <w:tcPr>
            <w:tcW w:w="8505" w:type="dxa"/>
          </w:tcPr>
          <w:p w:rsidR="00CD2602" w:rsidRPr="00CD2602" w:rsidRDefault="00CD2602" w:rsidP="00A66DE9">
            <w:pPr>
              <w:pStyle w:val="Toelichtingvraag"/>
              <w:ind w:left="0"/>
            </w:pPr>
            <w:r w:rsidRPr="00CD2602">
              <w:t>Inspection</w:t>
            </w:r>
          </w:p>
        </w:tc>
        <w:tc>
          <w:tcPr>
            <w:tcW w:w="4925" w:type="dxa"/>
          </w:tcPr>
          <w:p w:rsidR="00CD2602" w:rsidRPr="00CD2602" w:rsidRDefault="00CD2602" w:rsidP="00CD2602"/>
        </w:tc>
      </w:tr>
      <w:tr w:rsidR="00CD2602" w:rsidRPr="00B42730" w:rsidTr="00CD2602">
        <w:tc>
          <w:tcPr>
            <w:tcW w:w="8505" w:type="dxa"/>
          </w:tcPr>
          <w:p w:rsidR="00CD2602" w:rsidRPr="00CD2602" w:rsidRDefault="00CD2602" w:rsidP="00A66DE9">
            <w:pPr>
              <w:pStyle w:val="toelichtingvraaginsprong1"/>
              <w:numPr>
                <w:ilvl w:val="1"/>
                <w:numId w:val="23"/>
              </w:numPr>
            </w:pPr>
            <w:r w:rsidRPr="00CD2602">
              <w:t>La sécurité est testée tous les ans (à moins que ce soit déterminé différemment sur base d’une analyse de fiabilité).</w:t>
            </w:r>
          </w:p>
        </w:tc>
        <w:tc>
          <w:tcPr>
            <w:tcW w:w="4925" w:type="dxa"/>
          </w:tcPr>
          <w:p w:rsidR="00CD2602" w:rsidRPr="00B42730" w:rsidRDefault="00CD2602" w:rsidP="00CD2602">
            <w:pPr>
              <w:rPr>
                <w:lang w:val="fr-FR"/>
              </w:rPr>
            </w:pPr>
          </w:p>
        </w:tc>
      </w:tr>
      <w:tr w:rsidR="00CD2602" w:rsidRPr="00B42730" w:rsidTr="00CD2602">
        <w:tc>
          <w:tcPr>
            <w:tcW w:w="8505" w:type="dxa"/>
          </w:tcPr>
          <w:p w:rsidR="00CD2602" w:rsidRPr="00CD2602" w:rsidRDefault="00CD2602" w:rsidP="00A66DE9">
            <w:pPr>
              <w:pStyle w:val="Kop3"/>
            </w:pPr>
            <w:r w:rsidRPr="00CD2602">
              <w:t xml:space="preserve">Surpression dans l’espace de remplissage du bateau à cause de l’expansion thermique après surremplissage </w:t>
            </w:r>
          </w:p>
        </w:tc>
        <w:tc>
          <w:tcPr>
            <w:tcW w:w="4925" w:type="dxa"/>
          </w:tcPr>
          <w:p w:rsidR="00CD2602" w:rsidRPr="006B3A0A" w:rsidRDefault="00CD2602" w:rsidP="00CD2602">
            <w:pPr>
              <w:rPr>
                <w:lang w:val="fr-FR"/>
              </w:rPr>
            </w:pPr>
          </w:p>
        </w:tc>
      </w:tr>
      <w:tr w:rsidR="00CD2602" w:rsidRPr="00B42730" w:rsidTr="00CD2602">
        <w:tc>
          <w:tcPr>
            <w:tcW w:w="8505" w:type="dxa"/>
          </w:tcPr>
          <w:p w:rsidR="00CD2602" w:rsidRPr="00CD2602" w:rsidRDefault="00CD2602" w:rsidP="00A66DE9">
            <w:pPr>
              <w:pStyle w:val="Mesure"/>
            </w:pPr>
            <w:r w:rsidRPr="00CD2602">
              <w:t>Accord sur la quantité à décharger</w:t>
            </w:r>
          </w:p>
        </w:tc>
        <w:tc>
          <w:tcPr>
            <w:tcW w:w="4925" w:type="dxa"/>
          </w:tcPr>
          <w:p w:rsidR="00CD2602" w:rsidRPr="00B42730" w:rsidRDefault="00CD2602" w:rsidP="00CD2602">
            <w:pPr>
              <w:rPr>
                <w:lang w:val="fr-FR"/>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Le contrôle de l’espace libre suffisant dans le réservoir à remplir est repris dans l’instruction pour le (dé)chargement ou dans la check-list de vérification liée à l’instruction pour le (dé)chargement. La check-list ADN</w:t>
            </w:r>
            <w:r w:rsidRPr="00CD2602">
              <w:rPr>
                <w:rStyle w:val="Voetnootmarkering"/>
                <w:lang w:val="fr-BE"/>
              </w:rPr>
              <w:footnoteReference w:id="3"/>
            </w:r>
            <w:r w:rsidRPr="00CD2602">
              <w:rPr>
                <w:lang w:val="fr-BE"/>
              </w:rPr>
              <w:t>/IMO</w:t>
            </w:r>
            <w:r w:rsidRPr="00CD2602">
              <w:rPr>
                <w:rStyle w:val="Voetnootmarkering"/>
                <w:lang w:val="fr-BE"/>
              </w:rPr>
              <w:footnoteReference w:id="4"/>
            </w:r>
            <w:r w:rsidRPr="00CD2602">
              <w:rPr>
                <w:lang w:val="fr-BE"/>
              </w:rPr>
              <w:t xml:space="preserve"> prévoit aussi ces vérifications sur base d’un contenu standard.</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Maatregel"/>
              <w:numPr>
                <w:ilvl w:val="0"/>
                <w:numId w:val="2"/>
              </w:numPr>
              <w:tabs>
                <w:tab w:val="clear" w:pos="3686"/>
                <w:tab w:val="num" w:pos="567"/>
              </w:tabs>
              <w:ind w:left="567"/>
              <w:rPr>
                <w:lang w:val="fr-BE"/>
              </w:rPr>
            </w:pPr>
            <w:r w:rsidRPr="00CD2602">
              <w:rPr>
                <w:lang w:val="fr-BE"/>
              </w:rPr>
              <w:t>Mesure de débit arrêtant le transfert après chargement de la quantité souhaitée</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 xml:space="preserve">Le chargement est arrêté automatiquement lorsque la quantité souhaitée a été pompée </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La quantité doit être réglée après contrôle du volume disponible.</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Mesure"/>
            </w:pPr>
            <w:r w:rsidRPr="00CD2602">
              <w:lastRenderedPageBreak/>
              <w:t>Système anti-débordement du bateau</w:t>
            </w:r>
          </w:p>
        </w:tc>
        <w:tc>
          <w:tcPr>
            <w:tcW w:w="4925" w:type="dxa"/>
          </w:tcPr>
          <w:p w:rsidR="00CD2602" w:rsidRPr="00B42730" w:rsidRDefault="00CD2602" w:rsidP="00CD2602">
            <w:pPr>
              <w:rPr>
                <w:lang w:val="fr-FR"/>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 xml:space="preserve">Pour des bateaux fluviaux, l’ADN stipule que chaque réservoir de chargement du bateau doit être équipé d’une sécurité anti-débordement qui envoie un signal vers le quai via un système de prise afin d’y stopper la pompe et de fermer les vannes nécessaires dans la tuyauterie de remplissage. </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 xml:space="preserve">Suivant le type de navire, les obligations sont reprises dans les chapitres 9.3.1 (bateaux-citernes du type G), 9.3.2 (bateaux-citernes du type C) ou 9.3.3 (bateaux-citernes du type N) de l’ADN: </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insprong1"/>
            </w:pPr>
            <w:r w:rsidRPr="00CD2602">
              <w:t xml:space="preserve">Chaque citerne à cargaison doit être équipée d’un déclencheur du dispositif automatique permettant d’éviter un surremplissage qui se déclenche à un remplissage de 97,5 % (9.3.x.21.1 d)). </w:t>
            </w:r>
          </w:p>
        </w:tc>
        <w:tc>
          <w:tcPr>
            <w:tcW w:w="4925" w:type="dxa"/>
          </w:tcPr>
          <w:p w:rsidR="00CD2602" w:rsidRPr="00B42730" w:rsidRDefault="00CD2602" w:rsidP="00CD2602">
            <w:pPr>
              <w:rPr>
                <w:lang w:val="fr-FR"/>
              </w:rPr>
            </w:pPr>
          </w:p>
        </w:tc>
      </w:tr>
      <w:tr w:rsidR="00CD2602" w:rsidRPr="00CD2602" w:rsidTr="00CD2602">
        <w:tc>
          <w:tcPr>
            <w:tcW w:w="8505" w:type="dxa"/>
          </w:tcPr>
          <w:p w:rsidR="00CD2602" w:rsidRPr="00CD2602" w:rsidRDefault="00CD2602" w:rsidP="00A66DE9">
            <w:pPr>
              <w:pStyle w:val="toelichtingvraaginsprong1"/>
            </w:pPr>
            <w:r w:rsidRPr="00CD2602">
              <w:t>Le déclencheur mentionné au 9.3.x.21.1 d) doit émettre un signal optique et acoustique et actionner simultanément un contact électrique susceptible, sous forme d’un signal binaire, d’interrompre la ligne électrique établie et alimentée par l’installation à terre et de permettre de prendre côté terre les mesures pour empêcher tout débordement. Ce signal doit pouvoir être transmis à l’installation à terre au moyen d’une prise mâle étanche bipolaire d’un dispositif de couplage conforme à la norme EN 60309-2:1999, pour courant continu 40 à 50 V, couleur blanche, position du nez de détrompage 10 h. La prise doit être fixée solidement au bateau à proximité immédiate des raccords à terre des tuyaux de chargement et de déchargement. Le déclencheur doit également être en mesure d’arrêter la pompe de déchargement à bord. Le déclencheur doit être indépendant de l’avertisseur de niveau mais peut être accouplé à l’indicateur de niveau. (9.3.x.21.5a)).</w:t>
            </w:r>
          </w:p>
        </w:tc>
        <w:tc>
          <w:tcPr>
            <w:tcW w:w="4925" w:type="dxa"/>
          </w:tcPr>
          <w:p w:rsidR="00CD2602" w:rsidRPr="00CD2602" w:rsidRDefault="00CD2602" w:rsidP="00CD2602"/>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Ce système de prise est constitué de deux prises séparées et différentes: une pour le transfert depuis le bateau vers le réservoir à terre et une pour la direction de transfert opposée. Cela concerne deux prises différentes, de sorte que la substitution est impossible.</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 xml:space="preserve">Vu que l’arrêt des pompes de déchargement d’un bateau est l’unique action possible qui peut suivre le signal venant du bateau via la liaison par prise, les services d’inspection Seveso belges s’attendent à ce que le déchargement soit stoppé automatiquement lors de ce signal. </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eastAsia="nl-BE"/>
              </w:rPr>
            </w:pPr>
            <w:r w:rsidRPr="00CD2602">
              <w:rPr>
                <w:lang w:val="fr-BE" w:eastAsia="nl-BE"/>
              </w:rPr>
              <w:lastRenderedPageBreak/>
              <w:t>Cette prise mâle est implémentée de façon à ce que le déchargement soit impossible quand le système de prise n’est pas branché.</w:t>
            </w:r>
          </w:p>
        </w:tc>
        <w:tc>
          <w:tcPr>
            <w:tcW w:w="4925" w:type="dxa"/>
          </w:tcPr>
          <w:p w:rsidR="00CD2602" w:rsidRPr="00CD2602" w:rsidRDefault="00CD2602" w:rsidP="00CD2602">
            <w:pPr>
              <w:rPr>
                <w:lang w:val="fr-BE" w:eastAsia="nl-BE"/>
              </w:rPr>
            </w:pPr>
          </w:p>
        </w:tc>
      </w:tr>
      <w:tr w:rsidR="00CD2602" w:rsidRPr="00B42730" w:rsidTr="00CD2602">
        <w:tc>
          <w:tcPr>
            <w:tcW w:w="8505" w:type="dxa"/>
          </w:tcPr>
          <w:p w:rsidR="00CD2602" w:rsidRPr="00CD2602" w:rsidRDefault="00CD2602" w:rsidP="00A66DE9">
            <w:pPr>
              <w:pStyle w:val="Toelichtingvraag"/>
              <w:keepNext/>
              <w:keepLines/>
              <w:ind w:left="0"/>
              <w:rPr>
                <w:lang w:val="fr-BE" w:eastAsia="nl-BE"/>
              </w:rPr>
            </w:pPr>
            <w:r w:rsidRPr="00CD2602">
              <w:rPr>
                <w:lang w:val="fr-BE" w:eastAsia="nl-BE"/>
              </w:rPr>
              <w:t>Pour les bateaux maritimes, il n’y a pas d’obligation similaire à celle pour les bateaux fluviaux. La liaison des systèmes d’arrêt d’urgence du quai et du bateau fait cependant l’objet de diverses directives techniques telles que:</w:t>
            </w:r>
          </w:p>
        </w:tc>
        <w:tc>
          <w:tcPr>
            <w:tcW w:w="4925" w:type="dxa"/>
          </w:tcPr>
          <w:p w:rsidR="00CD2602" w:rsidRPr="00CD2602" w:rsidRDefault="00CD2602" w:rsidP="00CD2602">
            <w:pPr>
              <w:rPr>
                <w:lang w:val="fr-BE" w:eastAsia="nl-BE"/>
              </w:rPr>
            </w:pPr>
          </w:p>
        </w:tc>
      </w:tr>
      <w:tr w:rsidR="00CD2602" w:rsidRPr="00B42730" w:rsidTr="00CD2602">
        <w:tc>
          <w:tcPr>
            <w:tcW w:w="8505" w:type="dxa"/>
          </w:tcPr>
          <w:p w:rsidR="00CD2602" w:rsidRPr="00CD2602" w:rsidRDefault="00CD2602" w:rsidP="00A66DE9">
            <w:pPr>
              <w:pStyle w:val="toelichtingvraaginsprong1"/>
              <w:numPr>
                <w:ilvl w:val="1"/>
                <w:numId w:val="23"/>
              </w:numPr>
              <w:rPr>
                <w:lang w:val="en-US" w:eastAsia="nl-BE"/>
              </w:rPr>
            </w:pPr>
            <w:r w:rsidRPr="00CD2602">
              <w:rPr>
                <w:lang w:val="en-US" w:eastAsia="nl-BE"/>
              </w:rPr>
              <w:t>ESD Arrangements &amp; Linked Ship/Shore Systems For Liquefied Gas Carriers (first edition 2009), plublié par SIGTTO (Society of International Gas Tanker and Terminal Operators)</w:t>
            </w:r>
          </w:p>
        </w:tc>
        <w:tc>
          <w:tcPr>
            <w:tcW w:w="4925" w:type="dxa"/>
          </w:tcPr>
          <w:p w:rsidR="00CD2602" w:rsidRPr="00CD2602" w:rsidRDefault="00CD2602" w:rsidP="00CD2602">
            <w:pPr>
              <w:rPr>
                <w:lang w:val="en-US" w:eastAsia="nl-BE"/>
              </w:rPr>
            </w:pPr>
          </w:p>
        </w:tc>
      </w:tr>
      <w:tr w:rsidR="00CD2602" w:rsidRPr="00B42730" w:rsidTr="00CD2602">
        <w:tc>
          <w:tcPr>
            <w:tcW w:w="8505" w:type="dxa"/>
          </w:tcPr>
          <w:p w:rsidR="00CD2602" w:rsidRPr="00CD2602" w:rsidRDefault="00CD2602" w:rsidP="00A66DE9">
            <w:pPr>
              <w:pStyle w:val="toelichtingvraaginsprong1"/>
              <w:numPr>
                <w:ilvl w:val="1"/>
                <w:numId w:val="23"/>
              </w:numPr>
              <w:rPr>
                <w:lang w:val="en-US" w:eastAsia="nl-BE"/>
              </w:rPr>
            </w:pPr>
            <w:r w:rsidRPr="00CD2602">
              <w:rPr>
                <w:lang w:val="en-US" w:eastAsia="nl-BE"/>
              </w:rPr>
              <w:t>Linked Ship/Shore Emergency Shutdown Systems for Oil and Chemical Transfers (first edition 2017), publié par OCIMF (Oil Companies International Marine Forum).</w:t>
            </w:r>
          </w:p>
        </w:tc>
        <w:tc>
          <w:tcPr>
            <w:tcW w:w="4925" w:type="dxa"/>
          </w:tcPr>
          <w:p w:rsidR="00CD2602" w:rsidRPr="00CD2602" w:rsidRDefault="00CD2602" w:rsidP="00CD2602">
            <w:pPr>
              <w:rPr>
                <w:lang w:val="en-US" w:eastAsia="nl-BE"/>
              </w:rPr>
            </w:pPr>
          </w:p>
        </w:tc>
      </w:tr>
      <w:tr w:rsidR="00CD2602" w:rsidRPr="00B42730" w:rsidTr="00CD2602">
        <w:tc>
          <w:tcPr>
            <w:tcW w:w="8505" w:type="dxa"/>
          </w:tcPr>
          <w:p w:rsidR="00CD2602" w:rsidRPr="00CD2602" w:rsidRDefault="00CD2602" w:rsidP="00A66DE9">
            <w:pPr>
              <w:pStyle w:val="Toelichtingvraag"/>
              <w:ind w:left="0"/>
              <w:rPr>
                <w:lang w:val="fr-BE" w:eastAsia="nl-BE"/>
              </w:rPr>
            </w:pPr>
            <w:r w:rsidRPr="00CD2602">
              <w:rPr>
                <w:lang w:val="fr-BE" w:eastAsia="nl-BE"/>
              </w:rPr>
              <w:t>Ces directives peuvent former une base concrète pour des discussions entre une entreprise et un armateur au sujet de la mise en place d’une liaison entre les systèmes d’arrêt d’urgence de l’entreprise et du bateau.</w:t>
            </w:r>
          </w:p>
        </w:tc>
        <w:tc>
          <w:tcPr>
            <w:tcW w:w="4925" w:type="dxa"/>
          </w:tcPr>
          <w:p w:rsidR="00CD2602" w:rsidRPr="00CD2602" w:rsidRDefault="00CD2602" w:rsidP="00CD2602">
            <w:pPr>
              <w:rPr>
                <w:lang w:val="fr-BE" w:eastAsia="nl-BE"/>
              </w:rPr>
            </w:pPr>
          </w:p>
        </w:tc>
      </w:tr>
      <w:tr w:rsidR="00CD2602" w:rsidRPr="00B42730" w:rsidTr="00CD2602">
        <w:tc>
          <w:tcPr>
            <w:tcW w:w="8505" w:type="dxa"/>
          </w:tcPr>
          <w:p w:rsidR="00CD2602" w:rsidRPr="00CD2602" w:rsidRDefault="00CD2602" w:rsidP="00A66DE9">
            <w:pPr>
              <w:pStyle w:val="Kop3"/>
            </w:pPr>
            <w:r w:rsidRPr="00CD2602">
              <w:t xml:space="preserve">Déconnexion de la tuyauterie de retour vapeur dans laquelle du liquide est présent </w:t>
            </w:r>
          </w:p>
        </w:tc>
        <w:tc>
          <w:tcPr>
            <w:tcW w:w="4925" w:type="dxa"/>
          </w:tcPr>
          <w:p w:rsidR="00CD2602" w:rsidRPr="006B3A0A" w:rsidRDefault="00CD2602" w:rsidP="00CD2602">
            <w:pPr>
              <w:rPr>
                <w:lang w:val="fr-FR"/>
              </w:rPr>
            </w:pPr>
          </w:p>
        </w:tc>
      </w:tr>
      <w:tr w:rsidR="00CD2602" w:rsidRPr="00B42730" w:rsidTr="00CD2602">
        <w:tc>
          <w:tcPr>
            <w:tcW w:w="8505" w:type="dxa"/>
          </w:tcPr>
          <w:p w:rsidR="00CD2602" w:rsidRPr="00CD2602" w:rsidRDefault="00CD2602" w:rsidP="00C97535">
            <w:pPr>
              <w:pStyle w:val="Toelichtingscenario"/>
              <w:spacing w:before="120" w:after="120"/>
              <w:rPr>
                <w:lang w:val="fr-BE"/>
              </w:rPr>
            </w:pPr>
            <w:r w:rsidRPr="00CD2602">
              <w:rPr>
                <w:lang w:val="fr-BE"/>
              </w:rPr>
              <w:t>Lors du surremplissage du réservoir de chargement du bateau ou du réservoir fixe, du gaz liquéfié peut se retrouver dans la tuyauterie d’évacuation des vapeurs. Lors de la déconnexion du bras de chargement ou du flexible de la liaison pour l’évacuation des vapeurs, ce liquide peut se libérer. C’est pourquoi il est important que l’entrée de liquide dans la tuyauterie d’évacuation des vapeurs soit détectée et que le chargement soit alors immédiatement arrêté. Après, le liquide doit être poussé hors de la tuyauterie d’évacuation des vapeurs, avant que celle-ci ne soit déconnectée.</w:t>
            </w:r>
          </w:p>
        </w:tc>
        <w:tc>
          <w:tcPr>
            <w:tcW w:w="4925" w:type="dxa"/>
          </w:tcPr>
          <w:p w:rsidR="00CD2602" w:rsidRPr="00CD2602" w:rsidRDefault="00CD2602" w:rsidP="00C97535">
            <w:pPr>
              <w:spacing w:before="120" w:after="120"/>
              <w:rPr>
                <w:lang w:val="fr-BE"/>
              </w:rPr>
            </w:pPr>
          </w:p>
        </w:tc>
      </w:tr>
      <w:tr w:rsidR="00CD2602" w:rsidRPr="00B42730" w:rsidTr="00CD2602">
        <w:tc>
          <w:tcPr>
            <w:tcW w:w="8505" w:type="dxa"/>
          </w:tcPr>
          <w:p w:rsidR="00CD2602" w:rsidRPr="00CD2602" w:rsidRDefault="00CD2602" w:rsidP="00A66DE9">
            <w:pPr>
              <w:pStyle w:val="Maatregel"/>
              <w:numPr>
                <w:ilvl w:val="0"/>
                <w:numId w:val="2"/>
              </w:numPr>
              <w:tabs>
                <w:tab w:val="clear" w:pos="3686"/>
                <w:tab w:val="num" w:pos="567"/>
              </w:tabs>
              <w:ind w:left="567"/>
              <w:rPr>
                <w:lang w:val="fr-BE"/>
              </w:rPr>
            </w:pPr>
            <w:r w:rsidRPr="00CD2602">
              <w:rPr>
                <w:lang w:val="fr-BE"/>
              </w:rPr>
              <w:t>Détection de liquide dans la tuyauterie de retour vapeur stoppant le chargement</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La détection de liquide stoppe le chargement et donne un signal clair sur place pour signifier que du liquide a été détecté dans la tuyauterie d’évacuation des vapeurs.</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Toelichtingvraag"/>
              <w:ind w:left="0"/>
              <w:rPr>
                <w:lang w:val="fr-BE"/>
              </w:rPr>
            </w:pPr>
            <w:r w:rsidRPr="00CD2602">
              <w:rPr>
                <w:lang w:val="fr-BE"/>
              </w:rPr>
              <w:t>La détection et l’action correspondante sont testées tous les ans (à moins que ce soit déterminé différemment sur base d’une analyse de fiabilité).</w:t>
            </w:r>
          </w:p>
        </w:tc>
        <w:tc>
          <w:tcPr>
            <w:tcW w:w="4925" w:type="dxa"/>
          </w:tcPr>
          <w:p w:rsidR="00CD2602" w:rsidRPr="00CD2602" w:rsidRDefault="00CD2602" w:rsidP="00CD2602">
            <w:pPr>
              <w:rPr>
                <w:lang w:val="fr-BE"/>
              </w:rPr>
            </w:pPr>
          </w:p>
        </w:tc>
      </w:tr>
      <w:tr w:rsidR="00CD2602" w:rsidRPr="00B42730" w:rsidTr="00CD2602">
        <w:tc>
          <w:tcPr>
            <w:tcW w:w="8505" w:type="dxa"/>
          </w:tcPr>
          <w:p w:rsidR="00CD2602" w:rsidRPr="00CD2602" w:rsidRDefault="00CD2602" w:rsidP="00A66DE9">
            <w:pPr>
              <w:pStyle w:val="Maatregel"/>
              <w:numPr>
                <w:ilvl w:val="0"/>
                <w:numId w:val="2"/>
              </w:numPr>
              <w:tabs>
                <w:tab w:val="num" w:pos="567"/>
              </w:tabs>
              <w:ind w:left="567"/>
              <w:rPr>
                <w:lang w:val="fr-BE"/>
              </w:rPr>
            </w:pPr>
            <w:r w:rsidRPr="00CD2602">
              <w:rPr>
                <w:lang w:val="fr-BE"/>
              </w:rPr>
              <w:lastRenderedPageBreak/>
              <w:t xml:space="preserve">Procédure pour l’élimination du liquide hors de la tuyauterie de retour vapeur </w:t>
            </w:r>
          </w:p>
        </w:tc>
        <w:tc>
          <w:tcPr>
            <w:tcW w:w="4925" w:type="dxa"/>
          </w:tcPr>
          <w:p w:rsidR="00CD2602" w:rsidRPr="00CD2602" w:rsidRDefault="00CD2602" w:rsidP="00CD2602">
            <w:pPr>
              <w:rPr>
                <w:lang w:val="fr-BE"/>
              </w:rPr>
            </w:pPr>
          </w:p>
        </w:tc>
      </w:tr>
    </w:tbl>
    <w:p w:rsidR="00E23AEA" w:rsidRPr="00A05467" w:rsidRDefault="00E23AEA" w:rsidP="003F244D">
      <w:pPr>
        <w:rPr>
          <w:lang w:val="fr-BE"/>
        </w:rPr>
      </w:pPr>
    </w:p>
    <w:p w:rsidR="00E23AEA" w:rsidRPr="00A05467" w:rsidRDefault="00E23AEA" w:rsidP="003F244D">
      <w:pPr>
        <w:rPr>
          <w:lang w:val="fr-BE"/>
        </w:rPr>
      </w:pPr>
    </w:p>
    <w:p w:rsidR="003F244D" w:rsidRPr="00A05467" w:rsidRDefault="003F244D" w:rsidP="003F244D">
      <w:pPr>
        <w:rPr>
          <w:lang w:val="fr-BE"/>
        </w:rPr>
      </w:pPr>
      <w:r w:rsidRPr="00A05467">
        <w:rPr>
          <w:lang w:val="fr-BE"/>
        </w:rPr>
        <w:br w:type="page"/>
      </w:r>
    </w:p>
    <w:p w:rsidR="00C43C6F" w:rsidRDefault="008E03FB" w:rsidP="00A70AF4">
      <w:pPr>
        <w:pStyle w:val="Kop2"/>
      </w:pPr>
      <w:bookmarkStart w:id="33" w:name="_Toc496177876"/>
      <w:r w:rsidRPr="0052522C">
        <w:lastRenderedPageBreak/>
        <w:t>Gestion de la dégradati</w:t>
      </w:r>
      <w:r>
        <w:t>on</w:t>
      </w:r>
      <w:bookmarkEnd w:id="33"/>
    </w:p>
    <w:tbl>
      <w:tblPr>
        <w:tblStyle w:val="Tabelraster"/>
        <w:tblW w:w="0" w:type="auto"/>
        <w:tblInd w:w="562" w:type="dxa"/>
        <w:tblLook w:val="04A0" w:firstRow="1" w:lastRow="0" w:firstColumn="1" w:lastColumn="0" w:noHBand="0" w:noVBand="1"/>
      </w:tblPr>
      <w:tblGrid>
        <w:gridCol w:w="8505"/>
        <w:gridCol w:w="4925"/>
      </w:tblGrid>
      <w:tr w:rsidR="00A66DE9" w:rsidRPr="00B42730" w:rsidTr="00A66DE9">
        <w:tc>
          <w:tcPr>
            <w:tcW w:w="8505" w:type="dxa"/>
          </w:tcPr>
          <w:p w:rsidR="00A66DE9" w:rsidRPr="00A66DE9" w:rsidRDefault="00A66DE9" w:rsidP="00A66DE9">
            <w:pPr>
              <w:pStyle w:val="Kop3"/>
            </w:pPr>
            <w:r w:rsidRPr="00A66DE9">
              <w:t>Usure des flexibles due à l’usage et au stockage</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Mesure"/>
            </w:pPr>
            <w:r w:rsidRPr="00A66DE9">
              <w:t>Dispositif pour stocker les flexibles de manière propre et sécurisée</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L'usage de ce dispositif est repris dans les instructions de (dé)chargement. Les flexibles qui sont soutenus de manière insuffisante, sont endommagés, aussi lors du stockage.</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Mesure"/>
              <w:rPr>
                <w:szCs w:val="20"/>
              </w:rPr>
            </w:pPr>
            <w:r w:rsidRPr="00A66DE9">
              <w:t>Flexibles soutenus selon les directives du fabricant</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 xml:space="preserve">Un des critères est le rayon minimal de courbure selon lequel le flexible peut être plié. Si le flexible est plié selon une courbure plus petite, il peut être endommagé. Les flexibles que l’on laisse suspendre librement ou avec un support inadapté peuvent être pliés trop fort. </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 xml:space="preserve">Le poids du flexible rempli peut aussi être trop important pour le laisser suspendre librement. </w:t>
            </w:r>
            <w:r w:rsidRPr="00A66DE9">
              <w:rPr>
                <w:lang w:val="de-DE"/>
              </w:rPr>
              <w:t xml:space="preserve">Dans de tels cas, un support adapté est alors nécessaire. </w:t>
            </w:r>
            <w:r w:rsidRPr="00A66DE9">
              <w:rPr>
                <w:lang w:val="fr-BE"/>
              </w:rPr>
              <w:t>Le fabricant du flexible doit donner des directives à ce sujet dans sa notice.</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Le guide ‘</w:t>
            </w:r>
            <w:r w:rsidRPr="00A66DE9">
              <w:rPr>
                <w:lang w:val="fr-BE" w:eastAsia="nl-BE"/>
              </w:rPr>
              <w:t>International Safety Guide for Inland Navigation Tank-barges and Terminals</w:t>
            </w:r>
            <w:r w:rsidRPr="00A66DE9">
              <w:rPr>
                <w:lang w:val="fr-BE"/>
              </w:rPr>
              <w:t>’</w:t>
            </w:r>
            <w:r w:rsidRPr="00A66DE9">
              <w:rPr>
                <w:lang w:val="fr-BE" w:eastAsia="nl-BE"/>
              </w:rPr>
              <w:t xml:space="preserve"> [31]</w:t>
            </w:r>
            <w:r w:rsidRPr="00A66DE9">
              <w:rPr>
                <w:lang w:val="fr-BE"/>
              </w:rPr>
              <w:t xml:space="preserve"> contient des directives pratiques pour le soutien des flexibles de (dé)chargement connectés.</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Mesure"/>
            </w:pPr>
            <w:r w:rsidRPr="00A66DE9">
              <w:t>Contrôle visuel avant chaque utilisation</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L'obligation du contrôle visuel avant chaque utilisation est reprise dans les instructions de (dé)chargement.</w:t>
            </w:r>
          </w:p>
        </w:tc>
        <w:tc>
          <w:tcPr>
            <w:tcW w:w="4925" w:type="dxa"/>
          </w:tcPr>
          <w:p w:rsidR="00A66DE9" w:rsidRPr="00A66DE9" w:rsidRDefault="00A66DE9" w:rsidP="00A66DE9">
            <w:pPr>
              <w:rPr>
                <w:lang w:val="fr-BE"/>
              </w:rPr>
            </w:pPr>
          </w:p>
        </w:tc>
      </w:tr>
      <w:tr w:rsidR="00A66DE9" w:rsidRPr="00A66DE9" w:rsidTr="00A66DE9">
        <w:tc>
          <w:tcPr>
            <w:tcW w:w="8505" w:type="dxa"/>
          </w:tcPr>
          <w:p w:rsidR="00A66DE9" w:rsidRPr="00A66DE9" w:rsidRDefault="00A66DE9" w:rsidP="00A66DE9">
            <w:pPr>
              <w:pStyle w:val="Mesure"/>
            </w:pPr>
            <w:r w:rsidRPr="00A66DE9">
              <w:t>Inspection visuelle périodique</w:t>
            </w:r>
          </w:p>
        </w:tc>
        <w:tc>
          <w:tcPr>
            <w:tcW w:w="4925" w:type="dxa"/>
          </w:tcPr>
          <w:p w:rsidR="00A66DE9" w:rsidRPr="00A66DE9" w:rsidRDefault="00A66DE9" w:rsidP="00A66DE9"/>
        </w:tc>
      </w:tr>
      <w:tr w:rsidR="00A66DE9" w:rsidRPr="00A66DE9" w:rsidTr="00A66DE9">
        <w:tc>
          <w:tcPr>
            <w:tcW w:w="8505" w:type="dxa"/>
          </w:tcPr>
          <w:p w:rsidR="00A66DE9" w:rsidRPr="00A66DE9" w:rsidRDefault="00A66DE9" w:rsidP="00A66DE9">
            <w:pPr>
              <w:pStyle w:val="Toelichtingvraag"/>
              <w:ind w:left="0"/>
            </w:pPr>
            <w:r w:rsidRPr="00A66DE9">
              <w:t>Des points d’attention sont:</w:t>
            </w:r>
          </w:p>
        </w:tc>
        <w:tc>
          <w:tcPr>
            <w:tcW w:w="4925" w:type="dxa"/>
          </w:tcPr>
          <w:p w:rsidR="00A66DE9" w:rsidRPr="00A66DE9" w:rsidRDefault="00A66DE9" w:rsidP="00A66DE9"/>
        </w:tc>
      </w:tr>
      <w:tr w:rsidR="00A66DE9" w:rsidRPr="00B42730" w:rsidTr="00A66DE9">
        <w:tc>
          <w:tcPr>
            <w:tcW w:w="8505" w:type="dxa"/>
          </w:tcPr>
          <w:p w:rsidR="00A66DE9" w:rsidRPr="00A66DE9" w:rsidRDefault="00A66DE9" w:rsidP="00A66DE9">
            <w:pPr>
              <w:pStyle w:val="toelichtingvraaginsprong1"/>
            </w:pPr>
            <w:r w:rsidRPr="00A66DE9">
              <w:t>des irrégularités du diamètre extérieur, par exemple, un vrillage</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toelichtingvraaginsprong1"/>
            </w:pPr>
            <w:r w:rsidRPr="00A66DE9">
              <w:t>des renforcements endommagés ou apparents ou une déformation permanente de l'enveloppe du tuyau</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toelichtingvraaginsprong1"/>
            </w:pPr>
            <w:r w:rsidRPr="00A66DE9">
              <w:lastRenderedPageBreak/>
              <w:t>des signes de dommages des raccords aux extrémités, un desserrage ou un mauvais alignement.</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Toelichtingvraag"/>
              <w:ind w:left="0"/>
              <w:rPr>
                <w:highlight w:val="yellow"/>
                <w:lang w:val="fr-BE"/>
              </w:rPr>
            </w:pPr>
            <w:r w:rsidRPr="00A66DE9">
              <w:rPr>
                <w:lang w:val="fr-BE"/>
              </w:rPr>
              <w:t>Le guide ‘</w:t>
            </w:r>
            <w:r w:rsidRPr="00A66DE9">
              <w:rPr>
                <w:lang w:val="fr-BE" w:eastAsia="nl-BE"/>
              </w:rPr>
              <w:t>International Safety Guide for Inland Navigation Tank-barges and Terminals</w:t>
            </w:r>
            <w:r w:rsidRPr="00A66DE9">
              <w:rPr>
                <w:lang w:val="fr-BE"/>
              </w:rPr>
              <w:t>’</w:t>
            </w:r>
            <w:r w:rsidRPr="00A66DE9">
              <w:rPr>
                <w:lang w:val="fr-BE" w:eastAsia="nl-BE"/>
              </w:rPr>
              <w:t xml:space="preserve"> [31]</w:t>
            </w:r>
            <w:r w:rsidRPr="00A66DE9">
              <w:rPr>
                <w:lang w:val="fr-BE"/>
              </w:rPr>
              <w:t xml:space="preserve"> demande de réaliser annuellement une inspection visuelle documentée.</w:t>
            </w:r>
          </w:p>
        </w:tc>
        <w:tc>
          <w:tcPr>
            <w:tcW w:w="4925" w:type="dxa"/>
          </w:tcPr>
          <w:p w:rsidR="00A66DE9" w:rsidRPr="00A66DE9" w:rsidRDefault="00A66DE9" w:rsidP="00A66DE9">
            <w:pPr>
              <w:rPr>
                <w:lang w:val="fr-BE"/>
              </w:rPr>
            </w:pPr>
          </w:p>
        </w:tc>
      </w:tr>
      <w:tr w:rsidR="00A66DE9" w:rsidRPr="00A66DE9" w:rsidTr="00A66DE9">
        <w:tc>
          <w:tcPr>
            <w:tcW w:w="8505" w:type="dxa"/>
          </w:tcPr>
          <w:p w:rsidR="00A66DE9" w:rsidRPr="00A66DE9" w:rsidRDefault="00A66DE9" w:rsidP="00A66DE9">
            <w:pPr>
              <w:pStyle w:val="Mesure"/>
            </w:pPr>
            <w:r w:rsidRPr="00A66DE9">
              <w:t>Des tests hydrauliques périodiques</w:t>
            </w:r>
          </w:p>
        </w:tc>
        <w:tc>
          <w:tcPr>
            <w:tcW w:w="4925" w:type="dxa"/>
          </w:tcPr>
          <w:p w:rsidR="00A66DE9" w:rsidRPr="00A66DE9" w:rsidRDefault="00A66DE9" w:rsidP="00A66DE9"/>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Les tests de pression ont lieu au moins à la pression nominale de fonctionnement des flexibles. Les tests de pression hydrauliques ont lieu selon les directives du fabricant. Ces directives sont (normalement) reprises dans la notice que le fabricant doit livrer avec un flexible. La fréquence habituelle pour le test des flexibles est d’une fois par an.</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Le guide ‘</w:t>
            </w:r>
            <w:r w:rsidRPr="00A66DE9">
              <w:rPr>
                <w:lang w:val="fr-BE" w:eastAsia="nl-BE"/>
              </w:rPr>
              <w:t>International Safety Guide for Inland Navigation Tank-barges and Terminals</w:t>
            </w:r>
            <w:r w:rsidRPr="00A66DE9">
              <w:rPr>
                <w:lang w:val="fr-BE"/>
              </w:rPr>
              <w:t>’</w:t>
            </w:r>
            <w:r w:rsidRPr="00A66DE9">
              <w:rPr>
                <w:lang w:val="fr-BE" w:eastAsia="nl-BE"/>
              </w:rPr>
              <w:t xml:space="preserve"> [31] </w:t>
            </w:r>
            <w:r w:rsidRPr="00A66DE9">
              <w:rPr>
                <w:lang w:val="fr-BE"/>
              </w:rPr>
              <w:t xml:space="preserve">demande d’effectuer au moins annuellement un  essai de pression à 1,5 fois la pression nominale de service pour rechercher des fuites ou des mouvements aux raccords d'extrémités. </w:t>
            </w:r>
          </w:p>
        </w:tc>
        <w:tc>
          <w:tcPr>
            <w:tcW w:w="4925" w:type="dxa"/>
          </w:tcPr>
          <w:p w:rsidR="00A66DE9" w:rsidRPr="00A66DE9" w:rsidRDefault="00A66DE9" w:rsidP="00A66DE9">
            <w:pPr>
              <w:rPr>
                <w:lang w:val="fr-BE"/>
              </w:rPr>
            </w:pPr>
          </w:p>
        </w:tc>
      </w:tr>
      <w:tr w:rsidR="00A66DE9" w:rsidRPr="00A66DE9" w:rsidTr="00A66DE9">
        <w:tc>
          <w:tcPr>
            <w:tcW w:w="8505" w:type="dxa"/>
          </w:tcPr>
          <w:p w:rsidR="00A66DE9" w:rsidRPr="00A66DE9" w:rsidRDefault="00A66DE9" w:rsidP="00A66DE9">
            <w:pPr>
              <w:pStyle w:val="Toelichtingvraag"/>
              <w:ind w:left="0"/>
              <w:rPr>
                <w:lang w:val="fr-BE"/>
              </w:rPr>
            </w:pPr>
            <w:r w:rsidRPr="00A66DE9">
              <w:rPr>
                <w:lang w:val="fr-BE"/>
              </w:rPr>
              <w:t>Une alternative pour les tests hydrauliques est un programme de remplacement préventif des flexibles. L’inspection des flexibles comprend aussi le contrôle de la conductivité</w:t>
            </w:r>
            <w:r w:rsidRPr="00A66DE9">
              <w:rPr>
                <w:rFonts w:cs="TTE1404D78t00"/>
                <w:lang w:val="fr-BE"/>
              </w:rPr>
              <w:t xml:space="preserve">. </w:t>
            </w:r>
            <w:r w:rsidRPr="00A66DE9">
              <w:rPr>
                <w:lang w:val="fr-BE"/>
              </w:rPr>
              <w:t>Des attestations relatives à l'exécution des inspections sont présentes.</w:t>
            </w:r>
          </w:p>
        </w:tc>
        <w:tc>
          <w:tcPr>
            <w:tcW w:w="4925" w:type="dxa"/>
          </w:tcPr>
          <w:p w:rsidR="00A66DE9" w:rsidRPr="00A66DE9" w:rsidRDefault="00A66DE9" w:rsidP="00A66DE9">
            <w:pPr>
              <w:rPr>
                <w:lang w:val="fr-BE"/>
              </w:rPr>
            </w:pPr>
          </w:p>
        </w:tc>
      </w:tr>
      <w:tr w:rsidR="00A66DE9" w:rsidRPr="00A66DE9" w:rsidTr="00A66DE9">
        <w:tc>
          <w:tcPr>
            <w:tcW w:w="8505" w:type="dxa"/>
          </w:tcPr>
          <w:p w:rsidR="00A66DE9" w:rsidRPr="00A66DE9" w:rsidRDefault="00A66DE9" w:rsidP="00A66DE9">
            <w:pPr>
              <w:pStyle w:val="Toelichtingvraag"/>
              <w:ind w:left="0"/>
              <w:rPr>
                <w:rFonts w:ascii="TTE1404D78t00" w:hAnsi="TTE1404D78t00" w:cs="TTE1404D78t00"/>
                <w:lang w:val="fr-FR"/>
              </w:rPr>
            </w:pPr>
            <w:r w:rsidRPr="00A66DE9">
              <w:rPr>
                <w:lang w:val="fr-BE"/>
              </w:rPr>
              <w:t>Si l'on utilise les flexibles d'un tiers, des accords sont convenus avec le tiers pour que les attestations des inspections les plus récentes soient toujours à disposition. Des contrôles par sondage ont lieu sur ces documents</w:t>
            </w:r>
            <w:r w:rsidRPr="00A66DE9">
              <w:rPr>
                <w:rFonts w:cs="TTE1404D78t00"/>
                <w:lang w:val="fr-BE"/>
              </w:rPr>
              <w:t>.</w:t>
            </w:r>
          </w:p>
        </w:tc>
        <w:tc>
          <w:tcPr>
            <w:tcW w:w="4925" w:type="dxa"/>
          </w:tcPr>
          <w:p w:rsidR="00A66DE9" w:rsidRPr="00A66DE9" w:rsidRDefault="00A66DE9" w:rsidP="00A66DE9">
            <w:pPr>
              <w:rPr>
                <w:lang w:val="fr-BE"/>
              </w:rPr>
            </w:pPr>
          </w:p>
        </w:tc>
      </w:tr>
      <w:tr w:rsidR="00A66DE9" w:rsidRPr="00A66DE9" w:rsidTr="00A66DE9">
        <w:tc>
          <w:tcPr>
            <w:tcW w:w="8505" w:type="dxa"/>
          </w:tcPr>
          <w:p w:rsidR="00A66DE9" w:rsidRPr="00A66DE9" w:rsidRDefault="00A66DE9" w:rsidP="00A66DE9">
            <w:pPr>
              <w:pStyle w:val="Mesure"/>
            </w:pPr>
            <w:r w:rsidRPr="00A66DE9">
              <w:t>Programme de remplacement préventif</w:t>
            </w:r>
          </w:p>
        </w:tc>
        <w:tc>
          <w:tcPr>
            <w:tcW w:w="4925" w:type="dxa"/>
          </w:tcPr>
          <w:p w:rsidR="00A66DE9" w:rsidRPr="00A66DE9" w:rsidRDefault="00A66DE9" w:rsidP="00A66DE9"/>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 xml:space="preserve">Il y a un programme de remplacement pour les flexibles (en fonction de leur usage et des prescriptions du fabricant). </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 xml:space="preserve">Une mesure alternative pour un programme de remplacement préventif est un programme des tests hydrauliques. </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Kop3"/>
            </w:pPr>
            <w:r w:rsidRPr="00A66DE9">
              <w:t>Usure du bras de (dé)chargement</w:t>
            </w:r>
          </w:p>
        </w:tc>
        <w:tc>
          <w:tcPr>
            <w:tcW w:w="4925" w:type="dxa"/>
          </w:tcPr>
          <w:p w:rsidR="00A66DE9" w:rsidRPr="00A66DE9" w:rsidRDefault="00A66DE9" w:rsidP="00A66DE9">
            <w:pPr>
              <w:rPr>
                <w:lang w:val="fr-FR"/>
              </w:rPr>
            </w:pPr>
          </w:p>
        </w:tc>
      </w:tr>
      <w:tr w:rsidR="00A66DE9" w:rsidRPr="00B42730" w:rsidTr="00A66DE9">
        <w:tc>
          <w:tcPr>
            <w:tcW w:w="8505" w:type="dxa"/>
          </w:tcPr>
          <w:p w:rsidR="00A66DE9" w:rsidRPr="00A66DE9" w:rsidRDefault="00A66DE9" w:rsidP="00A66DE9">
            <w:pPr>
              <w:pStyle w:val="Maatregel"/>
              <w:numPr>
                <w:ilvl w:val="0"/>
                <w:numId w:val="2"/>
              </w:numPr>
              <w:tabs>
                <w:tab w:val="clear" w:pos="3686"/>
                <w:tab w:val="num" w:pos="567"/>
              </w:tabs>
              <w:ind w:left="567"/>
              <w:rPr>
                <w:lang w:val="fr-BE"/>
              </w:rPr>
            </w:pPr>
            <w:r w:rsidRPr="00A66DE9">
              <w:rPr>
                <w:lang w:val="fr-BE"/>
              </w:rPr>
              <w:t>Inspection périodique du bras de (dé)chargement</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lastRenderedPageBreak/>
              <w:t>Tous les ans des bras de (dé)chargement subissent typiquement une inspection au cours de laquelle différents aspects sont abordés, et où en plus de la fonctionnalité des bras, l’attention est également portée sur l’état:</w:t>
            </w:r>
          </w:p>
        </w:tc>
        <w:tc>
          <w:tcPr>
            <w:tcW w:w="4925" w:type="dxa"/>
          </w:tcPr>
          <w:p w:rsidR="00A66DE9" w:rsidRPr="00A66DE9" w:rsidRDefault="00A66DE9" w:rsidP="00A66DE9">
            <w:pPr>
              <w:rPr>
                <w:lang w:val="fr-BE"/>
              </w:rPr>
            </w:pPr>
          </w:p>
        </w:tc>
      </w:tr>
      <w:tr w:rsidR="00A66DE9" w:rsidRPr="00B42730" w:rsidTr="00A66DE9">
        <w:tc>
          <w:tcPr>
            <w:tcW w:w="8505" w:type="dxa"/>
          </w:tcPr>
          <w:p w:rsidR="00A66DE9" w:rsidRPr="00A66DE9" w:rsidRDefault="00A66DE9" w:rsidP="00A66DE9">
            <w:pPr>
              <w:pStyle w:val="toelichtingvraaginsprong1"/>
              <w:numPr>
                <w:ilvl w:val="1"/>
                <w:numId w:val="23"/>
              </w:numPr>
            </w:pPr>
            <w:r w:rsidRPr="00A66DE9">
              <w:t>des tuyauteries (dégradations, état de la couche de peinture)</w:t>
            </w:r>
          </w:p>
        </w:tc>
        <w:tc>
          <w:tcPr>
            <w:tcW w:w="4925" w:type="dxa"/>
          </w:tcPr>
          <w:p w:rsidR="00A66DE9" w:rsidRPr="00A66DE9" w:rsidRDefault="00A66DE9" w:rsidP="00A66DE9">
            <w:pPr>
              <w:rPr>
                <w:lang w:val="fr-FR"/>
              </w:rPr>
            </w:pPr>
          </w:p>
        </w:tc>
      </w:tr>
      <w:tr w:rsidR="00A66DE9" w:rsidRPr="00A66DE9" w:rsidTr="00A66DE9">
        <w:tc>
          <w:tcPr>
            <w:tcW w:w="8505" w:type="dxa"/>
          </w:tcPr>
          <w:p w:rsidR="00A66DE9" w:rsidRPr="00A66DE9" w:rsidRDefault="00A66DE9" w:rsidP="00A66DE9">
            <w:pPr>
              <w:pStyle w:val="toelichtingvraaginsprong1"/>
              <w:numPr>
                <w:ilvl w:val="1"/>
                <w:numId w:val="23"/>
              </w:numPr>
              <w:rPr>
                <w:lang w:val="nl-BE"/>
              </w:rPr>
            </w:pPr>
            <w:r w:rsidRPr="00A66DE9">
              <w:rPr>
                <w:lang w:val="nl-BE"/>
              </w:rPr>
              <w:t>des coudes (étanchéité, graissage)</w:t>
            </w:r>
          </w:p>
        </w:tc>
        <w:tc>
          <w:tcPr>
            <w:tcW w:w="4925" w:type="dxa"/>
          </w:tcPr>
          <w:p w:rsidR="00A66DE9" w:rsidRPr="00A66DE9" w:rsidRDefault="00A66DE9" w:rsidP="00A66DE9">
            <w:pPr>
              <w:rPr>
                <w:lang w:val="nl-BE"/>
              </w:rPr>
            </w:pPr>
          </w:p>
        </w:tc>
      </w:tr>
      <w:tr w:rsidR="00A66DE9" w:rsidRPr="00A66DE9" w:rsidTr="00A66DE9">
        <w:tc>
          <w:tcPr>
            <w:tcW w:w="8505" w:type="dxa"/>
          </w:tcPr>
          <w:p w:rsidR="00A66DE9" w:rsidRPr="00A66DE9" w:rsidRDefault="00A66DE9" w:rsidP="00A66DE9">
            <w:pPr>
              <w:pStyle w:val="toelichtingvraaginsprong1"/>
              <w:numPr>
                <w:ilvl w:val="1"/>
                <w:numId w:val="23"/>
              </w:numPr>
            </w:pPr>
            <w:r w:rsidRPr="00A66DE9">
              <w:t>des boulons d’ancrage</w:t>
            </w:r>
          </w:p>
        </w:tc>
        <w:tc>
          <w:tcPr>
            <w:tcW w:w="4925" w:type="dxa"/>
          </w:tcPr>
          <w:p w:rsidR="00A66DE9" w:rsidRPr="00A66DE9" w:rsidRDefault="00A66DE9" w:rsidP="00A66DE9"/>
        </w:tc>
      </w:tr>
      <w:tr w:rsidR="00A66DE9" w:rsidRPr="00B42730" w:rsidTr="00A66DE9">
        <w:tc>
          <w:tcPr>
            <w:tcW w:w="8505" w:type="dxa"/>
          </w:tcPr>
          <w:p w:rsidR="00A66DE9" w:rsidRPr="00A66DE9" w:rsidRDefault="00A66DE9" w:rsidP="00A66DE9">
            <w:pPr>
              <w:pStyle w:val="Toelichtingvraag"/>
              <w:ind w:left="0"/>
              <w:rPr>
                <w:lang w:val="fr-BE"/>
              </w:rPr>
            </w:pPr>
            <w:r w:rsidRPr="00A66DE9">
              <w:rPr>
                <w:lang w:val="fr-BE"/>
              </w:rPr>
              <w:t>Fréquence indicative: tous les ans</w:t>
            </w:r>
          </w:p>
        </w:tc>
        <w:tc>
          <w:tcPr>
            <w:tcW w:w="4925" w:type="dxa"/>
          </w:tcPr>
          <w:p w:rsidR="00A66DE9" w:rsidRPr="00A66DE9" w:rsidRDefault="00A66DE9" w:rsidP="00A66DE9">
            <w:pPr>
              <w:rPr>
                <w:lang w:val="fr-BE"/>
              </w:rPr>
            </w:pPr>
          </w:p>
        </w:tc>
      </w:tr>
    </w:tbl>
    <w:p w:rsidR="006837D7" w:rsidRPr="00C05350" w:rsidRDefault="006837D7" w:rsidP="006837D7">
      <w:pPr>
        <w:rPr>
          <w:lang w:val="fr-BE"/>
        </w:rPr>
      </w:pPr>
      <w:bookmarkStart w:id="34" w:name="_Toc353291884"/>
      <w:bookmarkStart w:id="35" w:name="_Toc353307164"/>
      <w:bookmarkStart w:id="36" w:name="_Toc353270834"/>
      <w:bookmarkStart w:id="37" w:name="_Toc353287094"/>
      <w:bookmarkStart w:id="38" w:name="_Toc353291093"/>
      <w:bookmarkStart w:id="39" w:name="_Toc353291253"/>
      <w:bookmarkStart w:id="40" w:name="_Toc353291413"/>
      <w:bookmarkStart w:id="41" w:name="_Toc353291572"/>
      <w:bookmarkStart w:id="42" w:name="_Toc353291728"/>
      <w:bookmarkEnd w:id="34"/>
      <w:bookmarkEnd w:id="35"/>
      <w:bookmarkEnd w:id="36"/>
      <w:bookmarkEnd w:id="37"/>
      <w:bookmarkEnd w:id="38"/>
      <w:bookmarkEnd w:id="39"/>
      <w:bookmarkEnd w:id="40"/>
      <w:bookmarkEnd w:id="41"/>
      <w:bookmarkEnd w:id="42"/>
    </w:p>
    <w:p w:rsidR="006837D7" w:rsidRDefault="006837D7" w:rsidP="002151E9">
      <w:pPr>
        <w:rPr>
          <w:lang w:val="fr-BE"/>
        </w:rPr>
      </w:pPr>
      <w:r w:rsidRPr="00C05350">
        <w:rPr>
          <w:lang w:val="fr-BE"/>
        </w:rPr>
        <w:br w:type="page"/>
      </w:r>
    </w:p>
    <w:p w:rsidR="005A6F16" w:rsidRDefault="005A6F16" w:rsidP="002151E9">
      <w:pPr>
        <w:rPr>
          <w:lang w:val="fr-BE"/>
        </w:rPr>
      </w:pPr>
    </w:p>
    <w:p w:rsidR="00DD491F" w:rsidRPr="0052522C" w:rsidRDefault="00DD491F" w:rsidP="00A70AF4">
      <w:pPr>
        <w:pStyle w:val="Kop2"/>
      </w:pPr>
      <w:bookmarkStart w:id="43" w:name="_Toc496177877"/>
      <w:r w:rsidRPr="0052522C">
        <w:t>Limitation de libérations accidentelles</w:t>
      </w:r>
      <w:bookmarkEnd w:id="43"/>
    </w:p>
    <w:tbl>
      <w:tblPr>
        <w:tblStyle w:val="Tabelraster"/>
        <w:tblW w:w="0" w:type="auto"/>
        <w:tblInd w:w="562" w:type="dxa"/>
        <w:tblLook w:val="04A0" w:firstRow="1" w:lastRow="0" w:firstColumn="1" w:lastColumn="0" w:noHBand="0" w:noVBand="1"/>
      </w:tblPr>
      <w:tblGrid>
        <w:gridCol w:w="8505"/>
        <w:gridCol w:w="4925"/>
      </w:tblGrid>
      <w:tr w:rsidR="006C26E0" w:rsidRPr="00B42730" w:rsidTr="006C26E0">
        <w:tc>
          <w:tcPr>
            <w:tcW w:w="8505" w:type="dxa"/>
          </w:tcPr>
          <w:p w:rsidR="006C26E0" w:rsidRPr="006C26E0" w:rsidRDefault="006C26E0" w:rsidP="00F4615E">
            <w:pPr>
              <w:pStyle w:val="Kop3"/>
            </w:pPr>
            <w:r w:rsidRPr="006C26E0">
              <w:t>Fuite pendant le (dé-)chargement d’un bateau</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Mesure"/>
              <w:rPr>
                <w:szCs w:val="20"/>
              </w:rPr>
            </w:pPr>
            <w:r w:rsidRPr="006C26E0">
              <w:t>Surveillance permanente du côté du quai</w:t>
            </w:r>
          </w:p>
        </w:tc>
        <w:tc>
          <w:tcPr>
            <w:tcW w:w="4925" w:type="dxa"/>
          </w:tcPr>
          <w:p w:rsidR="006C26E0" w:rsidRPr="006C26E0" w:rsidRDefault="006C26E0" w:rsidP="006C26E0">
            <w:pPr>
              <w:rPr>
                <w:lang w:val="fr-FR"/>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Il y a une surveillance permanente côté quai sur le (dé)chargement. Cette surveillance peut se faire par un opérateur sur le quai de (dé)chargement ou à partir d’un lieu occupé en permanence où l’on peut tenir à l’oeil le quai de (dé)chargement via des caméras et où l’on peut intervenir via un arrêt d’urgence.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rFonts w:ascii="TTE1776740t00" w:hAnsi="TTE1776740t00" w:cs="TTE1776740t00"/>
                <w:lang w:val="fr-BE"/>
              </w:rPr>
            </w:pPr>
            <w:r w:rsidRPr="006C26E0">
              <w:rPr>
                <w:lang w:val="fr-BE"/>
              </w:rPr>
              <w:t>L’obligation pour le bateau de suivre en permanence le (dé)chargement par un surveillant de pont est indépendante de cette surveillance et reste intégralement d’application.</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Mesure"/>
              <w:rPr>
                <w:szCs w:val="20"/>
              </w:rPr>
            </w:pPr>
            <w:r w:rsidRPr="006C26E0">
              <w:t>Communication entre quai et bateau</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À tout moment, une communication doit être possible entre l'opérateur sur le quai et celui sur le bateau. Les deux opérateurs doivent pouvoir communiquer de manière compréhensible entre eux et disposer d'une radio portative.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rFonts w:cs="Times New Roman"/>
                <w:b/>
                <w:lang w:val="fr-BE"/>
              </w:rPr>
            </w:pPr>
            <w:r w:rsidRPr="006C26E0">
              <w:rPr>
                <w:lang w:val="fr-BE"/>
              </w:rPr>
              <w:t>Une communication uniquement par gsm n'est pas fiable. Via l'échange de numéros de téléphone, on peut par contre créer un canal de communication supplémentaire.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Maatregel"/>
              <w:numPr>
                <w:ilvl w:val="0"/>
                <w:numId w:val="2"/>
              </w:numPr>
              <w:tabs>
                <w:tab w:val="clear" w:pos="3686"/>
                <w:tab w:val="num" w:pos="567"/>
              </w:tabs>
              <w:ind w:left="567"/>
              <w:rPr>
                <w:lang w:val="fr-BE"/>
              </w:rPr>
            </w:pPr>
            <w:r w:rsidRPr="006C26E0">
              <w:rPr>
                <w:lang w:val="fr-BE"/>
              </w:rPr>
              <w:t xml:space="preserve">Arrêts d’urgence pour le (dé)chargement de bateaux </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Lors de l’activation d’un arrêt d’urgence (sur le quai ou sur le bateau)</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insprong1"/>
              <w:numPr>
                <w:ilvl w:val="1"/>
                <w:numId w:val="23"/>
              </w:numPr>
            </w:pPr>
            <w:r w:rsidRPr="006C26E0">
              <w:t>La vanne commandée à distance dans l’installation fixe située à hauteur de la connexion avec le bateau se ferme.</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insprong1"/>
              <w:numPr>
                <w:ilvl w:val="1"/>
                <w:numId w:val="23"/>
              </w:numPr>
            </w:pPr>
            <w:r w:rsidRPr="006C26E0">
              <w:t>Fermeture de la vanne commandée à distance sur le bateau à hauteur de la connexion du bras de (dé)chargement ou du flexible</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insprong1"/>
              <w:numPr>
                <w:ilvl w:val="1"/>
                <w:numId w:val="23"/>
              </w:numPr>
            </w:pPr>
            <w:r w:rsidRPr="006C26E0">
              <w:lastRenderedPageBreak/>
              <w:t xml:space="preserve">La pompe de (dé)chargement (du bateau ou de l’installation fixe) s’arrête </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insprong1"/>
              <w:numPr>
                <w:ilvl w:val="1"/>
                <w:numId w:val="23"/>
              </w:numPr>
              <w:rPr>
                <w:rFonts w:ascii="TTE1404D78t00" w:hAnsi="TTE1404D78t00"/>
              </w:rPr>
            </w:pPr>
            <w:r w:rsidRPr="006C26E0">
              <w:t>Une alarme est donnée vers un poste occupé.</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La fermeture d’une vanne sur le bateau et l’arrêt d’une pompe sur le bateau par l’arrêt d’urgence de l’installation fixe, d’une part, et la fermeture d’une vanne côté quai et l’arrêt d’une pompe côté quai par un arrêt d’urgence sur le bateau, d’autre part, supposent une liaison entre les deux systèmes d’arrêt d’urgence.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 xml:space="preserve">Une telle liaison est une obligation pour des bateaux fluviaux (via le système de prise ADN). </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lang w:val="de-DE" w:eastAsia="nl-BE"/>
              </w:rPr>
            </w:pPr>
            <w:r w:rsidRPr="006C26E0">
              <w:rPr>
                <w:lang w:val="fr-BE"/>
              </w:rPr>
              <w:t>Pour des bateaux maritimes, une telle obligation n’existe pas mais la liaison des systèmes d’arrêt d’urgence du quai et du bateau fait cependant l’objet de diverses directives techniques</w:t>
            </w:r>
            <w:r w:rsidRPr="006C26E0">
              <w:rPr>
                <w:lang w:val="fr-BE" w:eastAsia="nl-BE"/>
              </w:rPr>
              <w:t xml:space="preserve"> ([32], [33]).</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eastAsia="nl-BE"/>
              </w:rPr>
              <w:t>Une alternative pour le couplage des arrêts d’urgence est de porter à bord un bouton d’arrêt d’urgence pour l’installation fixe. De cette manière, du bateau on peut fermer la vanne commandée à distance placée dans la tuyauterie de (dé)chargement et arrêter la pompe (dans le cas où le bateau est (dé)chargé via la pompe de l’installation fixe).</w:t>
            </w:r>
          </w:p>
        </w:tc>
        <w:tc>
          <w:tcPr>
            <w:tcW w:w="4925" w:type="dxa"/>
          </w:tcPr>
          <w:p w:rsidR="006C26E0" w:rsidRPr="006C26E0" w:rsidRDefault="006C26E0" w:rsidP="006C26E0">
            <w:pPr>
              <w:rPr>
                <w:lang w:val="fr-BE" w:eastAsia="nl-BE"/>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Placement des boutons d’arrêt d’urgence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insprong1"/>
              <w:numPr>
                <w:ilvl w:val="1"/>
                <w:numId w:val="23"/>
              </w:numPr>
            </w:pPr>
            <w:r w:rsidRPr="006C26E0">
              <w:t>Les boutons d’arrêt d’urgence sont placés stratégiquement sur les voies d’évacuation du poste de (dé)chargement.</w:t>
            </w:r>
          </w:p>
        </w:tc>
        <w:tc>
          <w:tcPr>
            <w:tcW w:w="4925" w:type="dxa"/>
          </w:tcPr>
          <w:p w:rsidR="006C26E0" w:rsidRPr="00B42730" w:rsidRDefault="006C26E0" w:rsidP="006C26E0">
            <w:pPr>
              <w:rPr>
                <w:lang w:val="fr-FR"/>
              </w:rPr>
            </w:pPr>
          </w:p>
        </w:tc>
      </w:tr>
      <w:tr w:rsidR="006C26E0" w:rsidRPr="006C26E0" w:rsidTr="006C26E0">
        <w:tc>
          <w:tcPr>
            <w:tcW w:w="8505" w:type="dxa"/>
          </w:tcPr>
          <w:p w:rsidR="006C26E0" w:rsidRPr="006C26E0" w:rsidRDefault="006C26E0" w:rsidP="00F4615E">
            <w:pPr>
              <w:pStyle w:val="Toelichtingvraag"/>
              <w:ind w:left="0"/>
            </w:pPr>
            <w:r w:rsidRPr="006C26E0">
              <w:t>Inspection</w:t>
            </w:r>
          </w:p>
        </w:tc>
        <w:tc>
          <w:tcPr>
            <w:tcW w:w="4925" w:type="dxa"/>
          </w:tcPr>
          <w:p w:rsidR="006C26E0" w:rsidRPr="006C26E0" w:rsidRDefault="006C26E0" w:rsidP="006C26E0"/>
        </w:tc>
      </w:tr>
      <w:tr w:rsidR="006C26E0" w:rsidRPr="006C26E0" w:rsidTr="006C26E0">
        <w:tc>
          <w:tcPr>
            <w:tcW w:w="8505" w:type="dxa"/>
          </w:tcPr>
          <w:p w:rsidR="006C26E0" w:rsidRPr="006C26E0" w:rsidRDefault="006C26E0" w:rsidP="00F4615E">
            <w:pPr>
              <w:pStyle w:val="toelichtingvraaginsprong1"/>
              <w:rPr>
                <w:lang w:val="fr-FR"/>
              </w:rPr>
            </w:pPr>
            <w:r w:rsidRPr="006C26E0">
              <w:t xml:space="preserve">Les arrêts d’urgence sont testés périodiquement de manière fonctionnelle. </w:t>
            </w:r>
            <w:r w:rsidRPr="006C26E0">
              <w:rPr>
                <w:lang w:val="fr-FR"/>
              </w:rPr>
              <w:t>Ces tests sont enregistrés.</w:t>
            </w:r>
          </w:p>
        </w:tc>
        <w:tc>
          <w:tcPr>
            <w:tcW w:w="4925" w:type="dxa"/>
          </w:tcPr>
          <w:p w:rsidR="006C26E0" w:rsidRPr="006C26E0" w:rsidRDefault="006C26E0" w:rsidP="006C26E0"/>
        </w:tc>
      </w:tr>
      <w:tr w:rsidR="006C26E0" w:rsidRPr="00B42730" w:rsidTr="006C26E0">
        <w:tc>
          <w:tcPr>
            <w:tcW w:w="8505" w:type="dxa"/>
          </w:tcPr>
          <w:p w:rsidR="006C26E0" w:rsidRPr="006C26E0" w:rsidRDefault="006C26E0" w:rsidP="00F4615E">
            <w:pPr>
              <w:pStyle w:val="Mesure"/>
            </w:pPr>
            <w:r w:rsidRPr="006C26E0">
              <w:t>Détection gaz au (dé)chargement bateau</w:t>
            </w:r>
          </w:p>
        </w:tc>
        <w:tc>
          <w:tcPr>
            <w:tcW w:w="4925" w:type="dxa"/>
          </w:tcPr>
          <w:p w:rsidR="006C26E0" w:rsidRPr="00B42730" w:rsidRDefault="006C26E0" w:rsidP="006C26E0">
            <w:pPr>
              <w:rPr>
                <w:lang w:val="fr-FR"/>
              </w:rPr>
            </w:pPr>
          </w:p>
        </w:tc>
      </w:tr>
      <w:tr w:rsidR="006C26E0" w:rsidRPr="006C26E0" w:rsidTr="006C26E0">
        <w:tc>
          <w:tcPr>
            <w:tcW w:w="8505" w:type="dxa"/>
          </w:tcPr>
          <w:p w:rsidR="006C26E0" w:rsidRPr="006C26E0" w:rsidRDefault="006C26E0" w:rsidP="00F4615E">
            <w:pPr>
              <w:pStyle w:val="Toelichtingvraag"/>
              <w:ind w:left="0"/>
            </w:pPr>
            <w:r w:rsidRPr="006C26E0">
              <w:t>Actions</w:t>
            </w:r>
          </w:p>
        </w:tc>
        <w:tc>
          <w:tcPr>
            <w:tcW w:w="4925" w:type="dxa"/>
          </w:tcPr>
          <w:p w:rsidR="006C26E0" w:rsidRPr="006C26E0" w:rsidRDefault="006C26E0" w:rsidP="006C26E0"/>
        </w:tc>
      </w:tr>
      <w:tr w:rsidR="006C26E0" w:rsidRPr="00B42730" w:rsidTr="006C26E0">
        <w:tc>
          <w:tcPr>
            <w:tcW w:w="8505" w:type="dxa"/>
          </w:tcPr>
          <w:p w:rsidR="006C26E0" w:rsidRPr="006C26E0" w:rsidRDefault="006C26E0" w:rsidP="00F4615E">
            <w:pPr>
              <w:pStyle w:val="Toelichtingvraag"/>
              <w:numPr>
                <w:ilvl w:val="0"/>
                <w:numId w:val="31"/>
              </w:numPr>
              <w:rPr>
                <w:lang w:val="fr-BE"/>
              </w:rPr>
            </w:pPr>
            <w:r w:rsidRPr="006C26E0">
              <w:rPr>
                <w:lang w:val="fr-BE"/>
              </w:rPr>
              <w:t>Alarme dans un poste occupé</w:t>
            </w:r>
            <w:r w:rsidRPr="006C26E0">
              <w:rPr>
                <w:rFonts w:cs="TTE1404D78t00"/>
                <w:lang w:val="fr-BE"/>
              </w:rPr>
              <w:t xml:space="preserve"> (lieu où une personne qui peut intervenir est présente en permanence</w:t>
            </w:r>
            <w:r w:rsidRPr="006C26E0">
              <w:rPr>
                <w:lang w:val="fr-BE"/>
              </w:rPr>
              <w:t xml:space="preserve"> par ex. dans la salle de contrôle); la réponse adaptée est reprise dans une instruction). </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numPr>
                <w:ilvl w:val="0"/>
                <w:numId w:val="31"/>
              </w:numPr>
              <w:rPr>
                <w:lang w:val="fr-BE"/>
              </w:rPr>
            </w:pPr>
            <w:r w:rsidRPr="006C26E0">
              <w:rPr>
                <w:lang w:val="fr-BE"/>
              </w:rPr>
              <w:lastRenderedPageBreak/>
              <w:t>Arrêt de la pompe et fermeture des vannes commandées à distance (valeur indicative 20 à 40% de la LIE)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Localisation des points de mesure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numPr>
                <w:ilvl w:val="0"/>
                <w:numId w:val="30"/>
              </w:numPr>
              <w:rPr>
                <w:b/>
                <w:lang w:val="fr-BE"/>
              </w:rPr>
            </w:pPr>
            <w:r w:rsidRPr="006C26E0">
              <w:rPr>
                <w:lang w:val="fr-BE"/>
              </w:rPr>
              <w:t xml:space="preserve">A des endroits stratégiques sur le quai de (dé)chargement: à hauteur de points de fuite possibles (par exemple des pompes, des compresseurs, les connections des bras de (dé)chargement ou des flexibles) et aux endroits où des gaz peuvent s’accumuler (par exemple des caniveaux et des puits de recueil).  </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numPr>
                <w:ilvl w:val="0"/>
                <w:numId w:val="21"/>
              </w:numPr>
              <w:rPr>
                <w:b/>
                <w:lang w:val="fr-BE"/>
              </w:rPr>
            </w:pPr>
            <w:r w:rsidRPr="006C26E0">
              <w:rPr>
                <w:rStyle w:val="toelichtingvraaginsprong1Char"/>
              </w:rPr>
              <w:t>Position en hauteur</w:t>
            </w:r>
            <w:r w:rsidRPr="006C26E0">
              <w:rPr>
                <w:lang w:val="fr-BE"/>
              </w:rPr>
              <w:t xml:space="preserve"> des têtes de détection en fonction de la densité du gaz.</w:t>
            </w:r>
          </w:p>
        </w:tc>
        <w:tc>
          <w:tcPr>
            <w:tcW w:w="4925" w:type="dxa"/>
          </w:tcPr>
          <w:p w:rsidR="006C26E0" w:rsidRPr="006C26E0" w:rsidRDefault="006C26E0" w:rsidP="006C26E0">
            <w:pPr>
              <w:rPr>
                <w:rStyle w:val="toelichtingvraaginsprong1Char"/>
              </w:rPr>
            </w:pPr>
          </w:p>
        </w:tc>
      </w:tr>
      <w:tr w:rsidR="006C26E0" w:rsidRPr="006C26E0" w:rsidTr="006C26E0">
        <w:tc>
          <w:tcPr>
            <w:tcW w:w="8505" w:type="dxa"/>
          </w:tcPr>
          <w:p w:rsidR="006C26E0" w:rsidRPr="006C26E0" w:rsidRDefault="006C26E0" w:rsidP="00F4615E">
            <w:pPr>
              <w:pStyle w:val="Toelichtingvraag"/>
              <w:ind w:left="0"/>
              <w:rPr>
                <w:lang w:val="fr-BE"/>
              </w:rPr>
            </w:pPr>
            <w:r w:rsidRPr="006C26E0">
              <w:rPr>
                <w:lang w:val="fr-BE"/>
              </w:rPr>
              <w:t>Inspection et maintenance</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insprong1"/>
              <w:rPr>
                <w:b/>
              </w:rPr>
            </w:pPr>
            <w:r w:rsidRPr="006C26E0">
              <w:t>Calibrage périodique des sondes de mesure. La périodicité est déterminée en tenant compte des prescriptions du fabriquant et des expériences des inspections, mais ne dépasse pas un an, conformément l’article III.3.22 du Code sur le bien-être au travail.</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insprong1"/>
            </w:pPr>
            <w:r w:rsidRPr="006C26E0">
              <w:t>Test périodique des actions liées à la détection de gaz (fréquence indicative: annuel).</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Mesure"/>
              <w:rPr>
                <w:szCs w:val="20"/>
              </w:rPr>
            </w:pPr>
            <w:r w:rsidRPr="006C26E0">
              <w:t>Isolation automatique du quai et du bateau en cas de dérive du bateau</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Divers incidents ont déjà montré que des bateaux bien solidement amarrés peuvent quand même rompre leurs amarres.</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
              <w:ind w:left="0"/>
              <w:rPr>
                <w:lang w:val="fr-BE"/>
              </w:rPr>
            </w:pPr>
            <w:r w:rsidRPr="006C26E0">
              <w:rPr>
                <w:lang w:val="fr-BE"/>
              </w:rPr>
              <w:t xml:space="preserve">Qui plus est, c’est une pratique courante de voir l’amarrage du bateau comme étant de la responsabilité du batelier. En d’autres mots, c’est une mesure qui n’est pas du ressort de l’entreprise et sur laquelle on peut donc difficilement compter. </w:t>
            </w:r>
          </w:p>
        </w:tc>
        <w:tc>
          <w:tcPr>
            <w:tcW w:w="4925" w:type="dxa"/>
          </w:tcPr>
          <w:p w:rsidR="006C26E0" w:rsidRPr="006C26E0" w:rsidRDefault="006C26E0" w:rsidP="006C26E0">
            <w:pPr>
              <w:rPr>
                <w:lang w:val="fr-BE"/>
              </w:rPr>
            </w:pPr>
          </w:p>
        </w:tc>
      </w:tr>
      <w:tr w:rsidR="006C26E0" w:rsidRPr="006C26E0" w:rsidTr="006C26E0">
        <w:tc>
          <w:tcPr>
            <w:tcW w:w="8505" w:type="dxa"/>
          </w:tcPr>
          <w:p w:rsidR="006C26E0" w:rsidRPr="006C26E0" w:rsidRDefault="006C26E0" w:rsidP="00F4615E">
            <w:pPr>
              <w:pStyle w:val="Toelichtingvraag"/>
              <w:ind w:left="0"/>
              <w:rPr>
                <w:rFonts w:cs="TTE1404D78t00"/>
                <w:lang w:val="fr-BE"/>
              </w:rPr>
            </w:pPr>
            <w:r w:rsidRPr="006C26E0">
              <w:rPr>
                <w:rFonts w:cs="TTE1404D78t00"/>
                <w:lang w:val="fr-BE"/>
              </w:rPr>
              <w:t>Divers systèmes sont possibles:</w:t>
            </w:r>
          </w:p>
        </w:tc>
        <w:tc>
          <w:tcPr>
            <w:tcW w:w="4925" w:type="dxa"/>
          </w:tcPr>
          <w:p w:rsidR="006C26E0" w:rsidRPr="006C26E0" w:rsidRDefault="006C26E0" w:rsidP="006C26E0">
            <w:pPr>
              <w:rPr>
                <w:rFonts w:cs="TTE1404D78t00"/>
                <w:lang w:val="fr-BE"/>
              </w:rPr>
            </w:pPr>
          </w:p>
        </w:tc>
      </w:tr>
      <w:tr w:rsidR="006C26E0" w:rsidRPr="00B42730" w:rsidTr="006C26E0">
        <w:tc>
          <w:tcPr>
            <w:tcW w:w="8505" w:type="dxa"/>
          </w:tcPr>
          <w:p w:rsidR="006C26E0" w:rsidRPr="006C26E0" w:rsidRDefault="006C26E0" w:rsidP="00F4615E">
            <w:pPr>
              <w:pStyle w:val="toelichtingvraaginsprong1"/>
            </w:pPr>
            <w:r w:rsidRPr="006C26E0">
              <w:t xml:space="preserve">Des bras de chargement sont typiquement équipés d’un système de déconnexion d’urgence (‘Emergency Release Coupler’) qui est activé lors de la dérive du bateau (par la surveillance de la position du bras de </w:t>
            </w:r>
            <w:r w:rsidRPr="006C26E0">
              <w:lastRenderedPageBreak/>
              <w:t>chargement). Le système de déconnexion d’urgence est constitué de 2 parties maintenues ensemble par une pince. Chaque partie contient une vanne. Lors de l’activation du système de déconnexion d’urgence, les 2 vannes sont fermées et ensuite la pince est relachée de manière à ce que les 2 parties puissent être détachées.</w:t>
            </w:r>
          </w:p>
        </w:tc>
        <w:tc>
          <w:tcPr>
            <w:tcW w:w="4925" w:type="dxa"/>
          </w:tcPr>
          <w:p w:rsidR="006C26E0" w:rsidRPr="00B42730" w:rsidRDefault="006C26E0" w:rsidP="006C26E0">
            <w:pPr>
              <w:rPr>
                <w:lang w:val="fr-FR"/>
              </w:rPr>
            </w:pPr>
          </w:p>
        </w:tc>
      </w:tr>
      <w:tr w:rsidR="006C26E0" w:rsidRPr="00B42730" w:rsidTr="006C26E0">
        <w:tc>
          <w:tcPr>
            <w:tcW w:w="8505" w:type="dxa"/>
          </w:tcPr>
          <w:p w:rsidR="006C26E0" w:rsidRPr="006C26E0" w:rsidRDefault="006C26E0" w:rsidP="00F4615E">
            <w:pPr>
              <w:pStyle w:val="toelichtingvraaginsprong1"/>
            </w:pPr>
            <w:r w:rsidRPr="006C26E0">
              <w:t>Lors du (dé)chargement avec des flexibles, on peut installer une liaison breakaway au niveau de la connexion ou un système de déconnexion d’urgence. Ces systèmes de déconnexion d’urgence peuvent être d’un autre type que ceux utilisés sur des bras de (dé)chargement et avoir un fonctionnement similaire à celui d’une liaison breakaway: les 2 parties se détachent d’abord entraînant la fermeture d’une vanne dans chaque partie. La différence avec une liaison breakaway est que les 2 parties sont maintenues ensemble par une broche qui peut être défaite à distance, par exemple pilotée par une détection de distance entre le bateau et le quai.</w:t>
            </w:r>
          </w:p>
        </w:tc>
        <w:tc>
          <w:tcPr>
            <w:tcW w:w="4925" w:type="dxa"/>
          </w:tcPr>
          <w:p w:rsidR="006C26E0" w:rsidRPr="00B42730" w:rsidRDefault="006C26E0" w:rsidP="006C26E0">
            <w:pPr>
              <w:rPr>
                <w:lang w:val="fr-FR"/>
              </w:rPr>
            </w:pPr>
          </w:p>
        </w:tc>
      </w:tr>
      <w:tr w:rsidR="006C26E0" w:rsidRPr="006C26E0" w:rsidTr="006C26E0">
        <w:tc>
          <w:tcPr>
            <w:tcW w:w="8505" w:type="dxa"/>
          </w:tcPr>
          <w:p w:rsidR="006C26E0" w:rsidRPr="006C26E0" w:rsidRDefault="006C26E0" w:rsidP="00F4615E">
            <w:pPr>
              <w:pStyle w:val="Toelichtingvraag"/>
              <w:ind w:left="0"/>
              <w:rPr>
                <w:lang w:val="fr-BE"/>
              </w:rPr>
            </w:pPr>
            <w:r w:rsidRPr="006C26E0">
              <w:rPr>
                <w:lang w:val="fr-BE"/>
              </w:rPr>
              <w:t>Inspection</w:t>
            </w:r>
          </w:p>
        </w:tc>
        <w:tc>
          <w:tcPr>
            <w:tcW w:w="4925" w:type="dxa"/>
          </w:tcPr>
          <w:p w:rsidR="006C26E0" w:rsidRPr="006C26E0" w:rsidRDefault="006C26E0" w:rsidP="006C26E0">
            <w:pPr>
              <w:rPr>
                <w:lang w:val="fr-BE"/>
              </w:rPr>
            </w:pPr>
          </w:p>
        </w:tc>
      </w:tr>
      <w:tr w:rsidR="006C26E0" w:rsidRPr="00B42730" w:rsidTr="006C26E0">
        <w:tc>
          <w:tcPr>
            <w:tcW w:w="8505" w:type="dxa"/>
          </w:tcPr>
          <w:p w:rsidR="006C26E0" w:rsidRPr="006C26E0" w:rsidRDefault="006C26E0" w:rsidP="00F4615E">
            <w:pPr>
              <w:pStyle w:val="toelichtingvraaginsprong1"/>
              <w:rPr>
                <w:rFonts w:ascii="TTE1404D78t00" w:hAnsi="TTE1404D78t00"/>
              </w:rPr>
            </w:pPr>
            <w:r w:rsidRPr="006C26E0">
              <w:t>L'inspection périodique du système est reprise dans un programme d'inspection.</w:t>
            </w:r>
          </w:p>
        </w:tc>
        <w:tc>
          <w:tcPr>
            <w:tcW w:w="4925" w:type="dxa"/>
          </w:tcPr>
          <w:p w:rsidR="006C26E0" w:rsidRPr="00B42730" w:rsidRDefault="006C26E0" w:rsidP="006C26E0">
            <w:pPr>
              <w:rPr>
                <w:lang w:val="fr-FR"/>
              </w:rPr>
            </w:pPr>
          </w:p>
        </w:tc>
      </w:tr>
    </w:tbl>
    <w:p w:rsidR="00E4290B" w:rsidRPr="00E4290B" w:rsidRDefault="00E4290B" w:rsidP="00E4290B">
      <w:pPr>
        <w:rPr>
          <w:lang w:val="fr-BE"/>
        </w:rPr>
      </w:pPr>
      <w:bookmarkStart w:id="44" w:name="_Toc353287480"/>
      <w:bookmarkStart w:id="45" w:name="_Toc353309706"/>
      <w:bookmarkStart w:id="46" w:name="_Toc353971527"/>
      <w:bookmarkStart w:id="47" w:name="_Toc353287482"/>
      <w:bookmarkStart w:id="48" w:name="_Toc353309708"/>
      <w:bookmarkStart w:id="49" w:name="_Toc353971529"/>
      <w:bookmarkStart w:id="50" w:name="_Toc353287483"/>
      <w:bookmarkStart w:id="51" w:name="_Toc353309709"/>
      <w:bookmarkStart w:id="52" w:name="_Toc353971530"/>
      <w:bookmarkStart w:id="53" w:name="_Toc353287500"/>
      <w:bookmarkStart w:id="54" w:name="_Toc353309726"/>
      <w:bookmarkStart w:id="55" w:name="_Toc353971547"/>
      <w:bookmarkStart w:id="56" w:name="_Toc353287510"/>
      <w:bookmarkStart w:id="57" w:name="_Toc353309736"/>
      <w:bookmarkStart w:id="58" w:name="_Toc353971557"/>
      <w:bookmarkStart w:id="59" w:name="_Toc353287511"/>
      <w:bookmarkStart w:id="60" w:name="_Toc353309737"/>
      <w:bookmarkStart w:id="61" w:name="_Toc353971558"/>
      <w:bookmarkStart w:id="62" w:name="_Toc353287512"/>
      <w:bookmarkStart w:id="63" w:name="_Toc353309738"/>
      <w:bookmarkStart w:id="64" w:name="_Toc353971559"/>
      <w:bookmarkStart w:id="65" w:name="_Toc353287517"/>
      <w:bookmarkStart w:id="66" w:name="_Toc353309743"/>
      <w:bookmarkStart w:id="67" w:name="_Toc353971564"/>
      <w:bookmarkStart w:id="68" w:name="_Toc353287518"/>
      <w:bookmarkStart w:id="69" w:name="_Toc353309744"/>
      <w:bookmarkStart w:id="70" w:name="_Toc353971565"/>
      <w:bookmarkStart w:id="71" w:name="_Toc353287520"/>
      <w:bookmarkStart w:id="72" w:name="_Toc353309746"/>
      <w:bookmarkStart w:id="73" w:name="_Toc353971567"/>
      <w:bookmarkStart w:id="74" w:name="_Toc353287521"/>
      <w:bookmarkStart w:id="75" w:name="_Toc353309747"/>
      <w:bookmarkStart w:id="76" w:name="_Toc353971568"/>
      <w:bookmarkStart w:id="77" w:name="_Toc353287522"/>
      <w:bookmarkStart w:id="78" w:name="_Toc353309748"/>
      <w:bookmarkStart w:id="79" w:name="_Toc35397156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4290B" w:rsidRDefault="00E4290B">
      <w:pPr>
        <w:jc w:val="left"/>
        <w:rPr>
          <w:lang w:val="fr-BE"/>
        </w:rPr>
      </w:pPr>
      <w:r w:rsidRPr="00E4290B">
        <w:rPr>
          <w:lang w:val="fr-BE"/>
        </w:rPr>
        <w:br w:type="page"/>
      </w:r>
    </w:p>
    <w:p w:rsidR="005A6F16" w:rsidRDefault="005A6F16" w:rsidP="005A6F16">
      <w:pPr>
        <w:rPr>
          <w:lang w:val="fr-BE"/>
        </w:rPr>
      </w:pPr>
    </w:p>
    <w:p w:rsidR="00F30E05" w:rsidRPr="0052522C" w:rsidRDefault="00F30E05" w:rsidP="00A70AF4">
      <w:pPr>
        <w:pStyle w:val="Kop2"/>
      </w:pPr>
      <w:bookmarkStart w:id="80" w:name="_Toc496177878"/>
      <w:r w:rsidRPr="0052522C">
        <w:t>Eviter des sources d’inflammation</w:t>
      </w:r>
      <w:bookmarkEnd w:id="80"/>
    </w:p>
    <w:tbl>
      <w:tblPr>
        <w:tblStyle w:val="Tabelraster"/>
        <w:tblW w:w="0" w:type="auto"/>
        <w:tblInd w:w="562" w:type="dxa"/>
        <w:tblLook w:val="04A0" w:firstRow="1" w:lastRow="0" w:firstColumn="1" w:lastColumn="0" w:noHBand="0" w:noVBand="1"/>
      </w:tblPr>
      <w:tblGrid>
        <w:gridCol w:w="8505"/>
        <w:gridCol w:w="4925"/>
      </w:tblGrid>
      <w:tr w:rsidR="00F65F6D" w:rsidRPr="00B42730" w:rsidTr="00F65F6D">
        <w:tc>
          <w:tcPr>
            <w:tcW w:w="8505" w:type="dxa"/>
          </w:tcPr>
          <w:p w:rsidR="00F65F6D" w:rsidRPr="00F65F6D" w:rsidRDefault="00F65F6D" w:rsidP="006F0C44">
            <w:pPr>
              <w:pStyle w:val="Kop3"/>
            </w:pPr>
            <w:r w:rsidRPr="00F65F6D">
              <w:t>Etincelles inductives lors de la déconnexion du flexible ou du bras de (dé)chargement</w:t>
            </w:r>
          </w:p>
        </w:tc>
        <w:tc>
          <w:tcPr>
            <w:tcW w:w="4925" w:type="dxa"/>
          </w:tcPr>
          <w:p w:rsidR="00F65F6D" w:rsidRPr="00F65F6D" w:rsidRDefault="00F65F6D" w:rsidP="00F65F6D">
            <w:pPr>
              <w:rPr>
                <w:lang w:val="fr-BE"/>
              </w:rPr>
            </w:pPr>
          </w:p>
        </w:tc>
      </w:tr>
      <w:tr w:rsidR="00F65F6D" w:rsidRPr="00F65F6D" w:rsidTr="00F65F6D">
        <w:tc>
          <w:tcPr>
            <w:tcW w:w="8505" w:type="dxa"/>
          </w:tcPr>
          <w:p w:rsidR="00F65F6D" w:rsidRPr="00F65F6D" w:rsidRDefault="00F65F6D" w:rsidP="00C97535">
            <w:pPr>
              <w:pStyle w:val="Toelichtingscenario"/>
              <w:spacing w:before="120" w:after="120"/>
            </w:pPr>
            <w:bookmarkStart w:id="81" w:name="_GoBack"/>
            <w:r w:rsidRPr="00F65F6D">
              <w:t>Dans la liaison entre le bateau et l’installation de (dé)chargement, des courants vagabonds peuvent naître. Un courant vagabond est tout courant électrique présent à un endroit où il ne devrait normalement pas circuler. L’origine la plus évidente de ce phénomène est le système de protection cathodique d’un bateau, mais il y a encore un certain nombre d’autres sources possibles. Ces courants vagabonds peuvent s’élever à plusieurs ampères.</w:t>
            </w:r>
          </w:p>
        </w:tc>
        <w:tc>
          <w:tcPr>
            <w:tcW w:w="4925" w:type="dxa"/>
          </w:tcPr>
          <w:p w:rsidR="00F65F6D" w:rsidRPr="00F65F6D" w:rsidRDefault="00F65F6D" w:rsidP="00C97535">
            <w:pPr>
              <w:spacing w:before="120" w:after="120"/>
            </w:pPr>
          </w:p>
        </w:tc>
      </w:tr>
      <w:tr w:rsidR="00F65F6D" w:rsidRPr="00B42730" w:rsidTr="00F65F6D">
        <w:tc>
          <w:tcPr>
            <w:tcW w:w="8505" w:type="dxa"/>
          </w:tcPr>
          <w:p w:rsidR="00F65F6D" w:rsidRPr="00F65F6D" w:rsidRDefault="00F65F6D" w:rsidP="00C97535">
            <w:pPr>
              <w:pStyle w:val="Toelichtingscenario"/>
              <w:spacing w:before="120" w:after="120"/>
            </w:pPr>
            <w:r w:rsidRPr="00F65F6D">
              <w:t xml:space="preserve">Par l’interruption d’un grand courant, une étincelle inductive va être formée. Les électrons ne vont pas immédiatement s’arrêter lorsque leur passage conducteur est interrompu et vont passer par la première petite ouverture possible. Ce phénomène a lieu dans chaque interrupteur électrique. Quand un courant vagabond est présent, celui-ci va passer par la liaison de (dé)chargement conductrice, comme un bras de (dé)chargement métallique ou un flexible conducteur. Lors de la déconnexion, on va interrompre ces courants et une étincelle inductive va être créée. Cette étincelle arrive alors à un endroit où un reste de gaz liquéfié est encore présent. </w:t>
            </w:r>
          </w:p>
        </w:tc>
        <w:tc>
          <w:tcPr>
            <w:tcW w:w="4925" w:type="dxa"/>
          </w:tcPr>
          <w:p w:rsidR="00F65F6D" w:rsidRPr="00F65F6D" w:rsidRDefault="00F65F6D" w:rsidP="00C97535">
            <w:pPr>
              <w:spacing w:before="120" w:after="120"/>
              <w:rPr>
                <w:lang w:val="fr-FR"/>
              </w:rPr>
            </w:pPr>
          </w:p>
        </w:tc>
      </w:tr>
      <w:tr w:rsidR="00F65F6D" w:rsidRPr="00F65F6D" w:rsidTr="00F65F6D">
        <w:tc>
          <w:tcPr>
            <w:tcW w:w="8505" w:type="dxa"/>
          </w:tcPr>
          <w:p w:rsidR="00F65F6D" w:rsidRPr="00F65F6D" w:rsidRDefault="00F65F6D" w:rsidP="00C97535">
            <w:pPr>
              <w:pStyle w:val="Toelichtingscenario"/>
              <w:spacing w:before="120" w:after="120"/>
            </w:pPr>
            <w:r w:rsidRPr="00F65F6D">
              <w:t xml:space="preserve">Il ne faut pas confondre ce moyen d’inflammation avec la formation d’une étincelle capacitive comme lors du déchargement d’un conducteur chargé statiquement. Dans ce cas, une étincelle va avoir lieu si un conducteur isolé, qui est chargé statiquement à un potentiel élevé, se rapproche suffisamment près d’un autre conducteur. On peut se protéger contre les étincelles induites par le chargement statique, ceci avant qu’une atmosphère explosive ait pu être formée, en mettant à la terre les parties potentiellement chargées statiquement (ex. camions). Par la pose d’une liaison, on peut produire une étincelle considérée sans danger vu qu’il n’y a pas encore d’atmosphère explosive. Cette mise à la terre reste donc accrochée, de façon à ce qu’aucun nouveau chargement ne soit possible et aussi de façon à ce qu’aucune nouvelle étincelle ne puisse apparaître. [1] [31] </w:t>
            </w:r>
          </w:p>
        </w:tc>
        <w:tc>
          <w:tcPr>
            <w:tcW w:w="4925" w:type="dxa"/>
          </w:tcPr>
          <w:p w:rsidR="00F65F6D" w:rsidRPr="00F65F6D" w:rsidRDefault="00F65F6D" w:rsidP="00C97535">
            <w:pPr>
              <w:spacing w:before="120" w:after="120"/>
            </w:pPr>
          </w:p>
        </w:tc>
      </w:tr>
      <w:bookmarkEnd w:id="81"/>
      <w:tr w:rsidR="00F65F6D" w:rsidRPr="00F65F6D" w:rsidTr="00F65F6D">
        <w:tc>
          <w:tcPr>
            <w:tcW w:w="8505" w:type="dxa"/>
          </w:tcPr>
          <w:p w:rsidR="00F65F6D" w:rsidRPr="00F65F6D" w:rsidRDefault="00F65F6D" w:rsidP="006F0C44">
            <w:pPr>
              <w:pStyle w:val="Mesure"/>
            </w:pPr>
            <w:r w:rsidRPr="00F65F6D">
              <w:t>Des brides isolantes</w:t>
            </w:r>
          </w:p>
        </w:tc>
        <w:tc>
          <w:tcPr>
            <w:tcW w:w="4925" w:type="dxa"/>
          </w:tcPr>
          <w:p w:rsidR="00F65F6D" w:rsidRPr="00F65F6D" w:rsidRDefault="00F65F6D" w:rsidP="00F65F6D"/>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lastRenderedPageBreak/>
              <w:t xml:space="preserve">Les éléments en amont et en aval de la bride isolante sont respectivement mis à la terre du quai et du navire. On ne peut alors avoir de chargement statique nulle part. C'est la raison pour laquelle seule une bride isolante peut être employée et que le reste de l'installation doit être suffisamment conducteur. </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Le court-circuitage de la bride isolante doit être évité lors de sa mise en place et par l’instruction de (dé)chargement à appliquer. Aucun autre contact (conducteur) ne peut être présent entre le quai et le bateau.</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 xml:space="preserve">Une liaison par câble entre le bateau et l’installation n’est pas une mesure efficace. En pratique, celle-ci ne peut limiter que de manière insuffisante le courant vagabond par une liaison de (dé)chargement conductrice, afin d’éliminer le risque d’inflammation. </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L’utilisation de brides d’isolation est largement expliquée dans le guide ‘</w:t>
            </w:r>
            <w:r w:rsidRPr="00F65F6D">
              <w:rPr>
                <w:lang w:val="fr-BE" w:eastAsia="nl-BE"/>
              </w:rPr>
              <w:t>International Safety Guide for Inland Navigation Tank-barges and Terminals</w:t>
            </w:r>
            <w:r w:rsidRPr="00F65F6D">
              <w:rPr>
                <w:lang w:val="fr-BE"/>
              </w:rPr>
              <w:t>’  (section 15.5.5) [31].</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Mesure"/>
              <w:rPr>
                <w:szCs w:val="20"/>
              </w:rPr>
            </w:pPr>
            <w:r w:rsidRPr="00F65F6D">
              <w:t>Flexibles de (dé)chargement suffisamment isolants</w:t>
            </w:r>
          </w:p>
        </w:tc>
        <w:tc>
          <w:tcPr>
            <w:tcW w:w="4925" w:type="dxa"/>
          </w:tcPr>
          <w:p w:rsidR="00F65F6D" w:rsidRPr="00B42730" w:rsidRDefault="00F65F6D" w:rsidP="00F65F6D">
            <w:pPr>
              <w:rPr>
                <w:lang w:val="fr-FR"/>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La résistance des flexibles se situe entre 10³</w:t>
            </w:r>
            <w:r w:rsidRPr="00F65F6D">
              <w:rPr>
                <w:rFonts w:ascii="ZapfChancery" w:hAnsi="ZapfChancery"/>
                <w:lang w:val="fr-BE"/>
              </w:rPr>
              <w:t xml:space="preserve"> </w:t>
            </w:r>
            <w:r w:rsidRPr="00F65F6D">
              <w:rPr>
                <w:rFonts w:ascii="ZapfChancery" w:hAnsi="ZapfChancery"/>
              </w:rPr>
              <w:t>Ω</w:t>
            </w:r>
            <w:r w:rsidRPr="00F65F6D">
              <w:rPr>
                <w:lang w:val="fr-BE"/>
              </w:rPr>
              <w:t>/m et 10</w:t>
            </w:r>
            <w:r w:rsidRPr="00F65F6D">
              <w:rPr>
                <w:vertAlign w:val="superscript"/>
                <w:lang w:val="fr-BE"/>
              </w:rPr>
              <w:t>6</w:t>
            </w:r>
            <w:r w:rsidRPr="00F65F6D">
              <w:rPr>
                <w:lang w:val="fr-BE"/>
              </w:rPr>
              <w:t> </w:t>
            </w:r>
            <w:r w:rsidRPr="00F65F6D">
              <w:rPr>
                <w:rFonts w:ascii="ZapfChancery" w:hAnsi="ZapfChancery"/>
              </w:rPr>
              <w:t>Ω</w:t>
            </w:r>
            <w:r w:rsidRPr="00F65F6D">
              <w:rPr>
                <w:lang w:val="fr-BE"/>
              </w:rPr>
              <w:t>/m. Ces flexibles sont désignés comme antistatiques.</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La résistance doit être suffisamment élevée afin d’éviter qu’un grand courant vagabond puisse s’écouler à travers le flexible de (dé)chargement, mais elle ne peut pas non plus être trop élevée de sorte que soit évacuée l’électricité statique qui se forme dans le flexible pendant le (dé)chargement.</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La résistance des flexibles de (dé)chargement doit être contrôlée périodiquement.</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Le guide ‘</w:t>
            </w:r>
            <w:r w:rsidRPr="00F65F6D">
              <w:rPr>
                <w:lang w:val="fr-BE" w:eastAsia="nl-BE"/>
              </w:rPr>
              <w:t>International Safety Guide for Inland Navigation Tank-barges and Terminals</w:t>
            </w:r>
            <w:r w:rsidRPr="00F65F6D">
              <w:rPr>
                <w:lang w:val="fr-BE"/>
              </w:rPr>
              <w:t>’ [31] demande de réaliser un test de conductibilité au moins tous les ans.</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Vu que la continuité électrique peut être influencée par un test de pression, cette directive recommande de réaliser le contrôle de la résistance électrique après les tests de pression.</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La présence d’une bride isolante sur la liaison de (dé)chargement est une alternative pour l’usage de flexibles de (dé)chargement antistatiques.</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Kop3"/>
            </w:pPr>
            <w:r w:rsidRPr="00F65F6D">
              <w:lastRenderedPageBreak/>
              <w:t>Etincelles électrostatiques dues aux vêtements</w:t>
            </w:r>
          </w:p>
        </w:tc>
        <w:tc>
          <w:tcPr>
            <w:tcW w:w="4925" w:type="dxa"/>
          </w:tcPr>
          <w:p w:rsidR="00F65F6D" w:rsidRPr="006B3A0A" w:rsidRDefault="00F65F6D" w:rsidP="00F65F6D">
            <w:pPr>
              <w:rPr>
                <w:lang w:val="fr-FR"/>
              </w:rPr>
            </w:pPr>
          </w:p>
        </w:tc>
      </w:tr>
      <w:tr w:rsidR="00F65F6D" w:rsidRPr="00B42730" w:rsidTr="00F65F6D">
        <w:tc>
          <w:tcPr>
            <w:tcW w:w="8505" w:type="dxa"/>
          </w:tcPr>
          <w:p w:rsidR="00F65F6D" w:rsidRPr="00F65F6D" w:rsidRDefault="00F65F6D" w:rsidP="006F0C44">
            <w:pPr>
              <w:pStyle w:val="Mesure"/>
            </w:pPr>
            <w:r w:rsidRPr="00F65F6D">
              <w:t>Chaussures et vêtements antistatiques pour les opérateurs de (dé)chargement</w:t>
            </w:r>
          </w:p>
        </w:tc>
        <w:tc>
          <w:tcPr>
            <w:tcW w:w="4925" w:type="dxa"/>
          </w:tcPr>
          <w:p w:rsidR="00F65F6D" w:rsidRPr="00B42730" w:rsidRDefault="00F65F6D" w:rsidP="00F65F6D">
            <w:pPr>
              <w:rPr>
                <w:lang w:val="fr-FR"/>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Le port de chaussures antistatiques est obligatoire pour le personnel de l'entreprise et pour les tiers qui réalisent le (dé)chargement des bateaux.</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b/>
                <w:lang w:val="fr-BE"/>
              </w:rPr>
            </w:pPr>
            <w:r w:rsidRPr="00F65F6D">
              <w:rPr>
                <w:lang w:val="fr-BE"/>
              </w:rPr>
              <w:t>Il y a une interdiction d’enfiler et de retirer des vêtements car c’est alors que le risque d’avoir des étincelles électrostatiques se présente surtout.</w:t>
            </w:r>
          </w:p>
        </w:tc>
        <w:tc>
          <w:tcPr>
            <w:tcW w:w="4925" w:type="dxa"/>
          </w:tcPr>
          <w:p w:rsidR="00F65F6D" w:rsidRPr="00F65F6D" w:rsidRDefault="00F65F6D" w:rsidP="00F65F6D">
            <w:pPr>
              <w:rPr>
                <w:lang w:val="fr-BE"/>
              </w:rPr>
            </w:pPr>
          </w:p>
        </w:tc>
      </w:tr>
      <w:tr w:rsidR="00F65F6D" w:rsidRPr="00F65F6D" w:rsidTr="00F65F6D">
        <w:tc>
          <w:tcPr>
            <w:tcW w:w="8505" w:type="dxa"/>
          </w:tcPr>
          <w:p w:rsidR="00F65F6D" w:rsidRPr="00F65F6D" w:rsidRDefault="00F65F6D" w:rsidP="006F0C44">
            <w:pPr>
              <w:pStyle w:val="Mesure"/>
            </w:pPr>
            <w:r w:rsidRPr="00F65F6D">
              <w:t>Surface suffisamment conductrice</w:t>
            </w:r>
          </w:p>
        </w:tc>
        <w:tc>
          <w:tcPr>
            <w:tcW w:w="4925" w:type="dxa"/>
          </w:tcPr>
          <w:p w:rsidR="00F65F6D" w:rsidRPr="00F65F6D" w:rsidRDefault="00F65F6D" w:rsidP="00F65F6D"/>
        </w:tc>
      </w:tr>
      <w:tr w:rsidR="00F65F6D" w:rsidRPr="00B42730" w:rsidTr="00F65F6D">
        <w:tc>
          <w:tcPr>
            <w:tcW w:w="8505" w:type="dxa"/>
          </w:tcPr>
          <w:p w:rsidR="00F65F6D" w:rsidRPr="00F65F6D" w:rsidRDefault="00F65F6D" w:rsidP="006F0C44">
            <w:pPr>
              <w:pStyle w:val="Toelichtingvraag"/>
              <w:ind w:left="0"/>
              <w:rPr>
                <w:b/>
                <w:lang w:val="fr-BE"/>
              </w:rPr>
            </w:pPr>
            <w:r w:rsidRPr="00F65F6D">
              <w:rPr>
                <w:lang w:val="fr-BE"/>
              </w:rPr>
              <w:t>Par exemple, le béton non-traité est suffisamment conducteur tandis que l’asphalte et les résines époxy sont insuffisamment conducteurs.</w:t>
            </w:r>
            <w:r w:rsidRPr="00F65F6D">
              <w:rPr>
                <w:b/>
                <w:lang w:val="fr-BE"/>
              </w:rPr>
              <w:t xml:space="preserve">  </w:t>
            </w:r>
          </w:p>
        </w:tc>
        <w:tc>
          <w:tcPr>
            <w:tcW w:w="4925" w:type="dxa"/>
          </w:tcPr>
          <w:p w:rsidR="00F65F6D" w:rsidRPr="00F65F6D" w:rsidRDefault="00F65F6D" w:rsidP="00F65F6D">
            <w:pPr>
              <w:rPr>
                <w:lang w:val="fr-BE"/>
              </w:rPr>
            </w:pPr>
          </w:p>
        </w:tc>
      </w:tr>
      <w:tr w:rsidR="00F65F6D" w:rsidRPr="00F65F6D" w:rsidTr="00F65F6D">
        <w:tc>
          <w:tcPr>
            <w:tcW w:w="8505" w:type="dxa"/>
          </w:tcPr>
          <w:p w:rsidR="00F65F6D" w:rsidRPr="00F65F6D" w:rsidRDefault="00F65F6D" w:rsidP="006F0C44">
            <w:pPr>
              <w:pStyle w:val="Kop3"/>
            </w:pPr>
            <w:r w:rsidRPr="00F65F6D">
              <w:t>Flamme nue</w:t>
            </w:r>
          </w:p>
        </w:tc>
        <w:tc>
          <w:tcPr>
            <w:tcW w:w="4925" w:type="dxa"/>
          </w:tcPr>
          <w:p w:rsidR="00F65F6D" w:rsidRPr="00F65F6D" w:rsidRDefault="00F65F6D" w:rsidP="00F65F6D"/>
        </w:tc>
      </w:tr>
      <w:tr w:rsidR="00F65F6D" w:rsidRPr="00B42730" w:rsidTr="00F65F6D">
        <w:tc>
          <w:tcPr>
            <w:tcW w:w="8505" w:type="dxa"/>
          </w:tcPr>
          <w:p w:rsidR="00F65F6D" w:rsidRPr="00F65F6D" w:rsidRDefault="00F65F6D" w:rsidP="006F0C44">
            <w:pPr>
              <w:pStyle w:val="Mesure"/>
            </w:pPr>
            <w:r w:rsidRPr="00F65F6D">
              <w:t>Présence de panneaux d’interdiction ‘interdiction de feu, de flamme nue et de fumer’</w:t>
            </w:r>
          </w:p>
        </w:tc>
        <w:tc>
          <w:tcPr>
            <w:tcW w:w="4925" w:type="dxa"/>
          </w:tcPr>
          <w:p w:rsidR="00F65F6D" w:rsidRPr="00B42730" w:rsidRDefault="00F65F6D" w:rsidP="00F65F6D">
            <w:pPr>
              <w:rPr>
                <w:lang w:val="fr-FR"/>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Le panneau ‘Feu, flamme nue interdite et défense de fumer’ est représenté dans le livre III, Titre 6 du Code du bien-être au travail (Signalisation de sécurité et de sante).</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
              <w:ind w:left="0"/>
              <w:rPr>
                <w:lang w:val="fr-BE"/>
              </w:rPr>
            </w:pPr>
            <w:r w:rsidRPr="00F65F6D">
              <w:rPr>
                <w:lang w:val="fr-BE"/>
              </w:rPr>
              <w:t>En ce qui concerne la localisation de ce panneau, le Code impose les conditions suivantes:</w:t>
            </w:r>
          </w:p>
        </w:tc>
        <w:tc>
          <w:tcPr>
            <w:tcW w:w="4925" w:type="dxa"/>
          </w:tcPr>
          <w:p w:rsidR="00F65F6D" w:rsidRPr="00F65F6D" w:rsidRDefault="00F65F6D" w:rsidP="00F65F6D">
            <w:pPr>
              <w:rPr>
                <w:lang w:val="fr-BE"/>
              </w:rPr>
            </w:pPr>
          </w:p>
        </w:tc>
      </w:tr>
      <w:tr w:rsidR="00F65F6D" w:rsidRPr="00B42730" w:rsidTr="00F65F6D">
        <w:tc>
          <w:tcPr>
            <w:tcW w:w="8505" w:type="dxa"/>
          </w:tcPr>
          <w:p w:rsidR="00F65F6D" w:rsidRPr="00F65F6D" w:rsidRDefault="00F65F6D" w:rsidP="006F0C44">
            <w:pPr>
              <w:pStyle w:val="toelichtingvraaginsprong1"/>
            </w:pPr>
            <w:r w:rsidRPr="00F65F6D">
              <w:t>à une hauteur et selon une position appropriée par rapport à l'angle de vue</w:t>
            </w:r>
          </w:p>
        </w:tc>
        <w:tc>
          <w:tcPr>
            <w:tcW w:w="4925" w:type="dxa"/>
          </w:tcPr>
          <w:p w:rsidR="00F65F6D" w:rsidRPr="00B42730" w:rsidRDefault="00F65F6D" w:rsidP="00F65F6D">
            <w:pPr>
              <w:rPr>
                <w:lang w:val="fr-FR"/>
              </w:rPr>
            </w:pPr>
          </w:p>
        </w:tc>
      </w:tr>
      <w:tr w:rsidR="00F65F6D" w:rsidRPr="00B42730" w:rsidTr="00F65F6D">
        <w:tc>
          <w:tcPr>
            <w:tcW w:w="8505" w:type="dxa"/>
          </w:tcPr>
          <w:p w:rsidR="00F65F6D" w:rsidRPr="00F65F6D" w:rsidRDefault="00F65F6D" w:rsidP="006F0C44">
            <w:pPr>
              <w:pStyle w:val="toelichtingvraaginsprong1"/>
            </w:pPr>
            <w:r w:rsidRPr="00F65F6D">
              <w:t>à l'accès à une zone où le risque dû à la présence d’une flamme nue existe</w:t>
            </w:r>
          </w:p>
        </w:tc>
        <w:tc>
          <w:tcPr>
            <w:tcW w:w="4925" w:type="dxa"/>
          </w:tcPr>
          <w:p w:rsidR="00F65F6D" w:rsidRPr="00B42730" w:rsidRDefault="00F65F6D" w:rsidP="00F65F6D">
            <w:pPr>
              <w:rPr>
                <w:lang w:val="fr-FR"/>
              </w:rPr>
            </w:pPr>
          </w:p>
        </w:tc>
      </w:tr>
      <w:tr w:rsidR="00F65F6D" w:rsidRPr="00B42730" w:rsidTr="00F65F6D">
        <w:tc>
          <w:tcPr>
            <w:tcW w:w="8505" w:type="dxa"/>
          </w:tcPr>
          <w:p w:rsidR="00F65F6D" w:rsidRPr="00F65F6D" w:rsidRDefault="00F65F6D" w:rsidP="006F0C44">
            <w:pPr>
              <w:pStyle w:val="toelichtingvraaginsprong1"/>
            </w:pPr>
            <w:r w:rsidRPr="00F65F6D">
              <w:t>dans un endroit bien éclairé et facilement accessible et visible.</w:t>
            </w:r>
          </w:p>
        </w:tc>
        <w:tc>
          <w:tcPr>
            <w:tcW w:w="4925" w:type="dxa"/>
          </w:tcPr>
          <w:p w:rsidR="00F65F6D" w:rsidRPr="00B42730" w:rsidRDefault="00F65F6D" w:rsidP="00F65F6D">
            <w:pPr>
              <w:rPr>
                <w:lang w:val="fr-FR"/>
              </w:rPr>
            </w:pPr>
          </w:p>
        </w:tc>
      </w:tr>
    </w:tbl>
    <w:p w:rsidR="00E4290B" w:rsidRPr="00C05350" w:rsidRDefault="00E4290B" w:rsidP="00E4290B">
      <w:pPr>
        <w:rPr>
          <w:lang w:val="fr-BE"/>
        </w:rPr>
      </w:pPr>
      <w:bookmarkStart w:id="82" w:name="_Toc424747679"/>
    </w:p>
    <w:p w:rsidR="00E4290B" w:rsidRDefault="00E4290B">
      <w:pPr>
        <w:jc w:val="left"/>
        <w:rPr>
          <w:lang w:val="fr-BE"/>
        </w:rPr>
      </w:pPr>
      <w:r w:rsidRPr="00C05350">
        <w:rPr>
          <w:lang w:val="fr-BE"/>
        </w:rPr>
        <w:br w:type="page"/>
      </w:r>
    </w:p>
    <w:p w:rsidR="005A6F16" w:rsidRDefault="005A6F16" w:rsidP="005A6F16">
      <w:pPr>
        <w:rPr>
          <w:lang w:val="fr-BE"/>
        </w:rPr>
      </w:pPr>
    </w:p>
    <w:p w:rsidR="003E4225" w:rsidRPr="0052522C" w:rsidRDefault="003E4225" w:rsidP="00A70AF4">
      <w:pPr>
        <w:pStyle w:val="Kop2"/>
      </w:pPr>
      <w:bookmarkStart w:id="83" w:name="_Toc496177879"/>
      <w:r w:rsidRPr="0052522C">
        <w:t>Limitation des dommages dus à l’incendie</w:t>
      </w:r>
      <w:bookmarkEnd w:id="83"/>
    </w:p>
    <w:tbl>
      <w:tblPr>
        <w:tblStyle w:val="Tabelraster"/>
        <w:tblW w:w="0" w:type="auto"/>
        <w:tblInd w:w="562" w:type="dxa"/>
        <w:tblLook w:val="04A0" w:firstRow="1" w:lastRow="0" w:firstColumn="1" w:lastColumn="0" w:noHBand="0" w:noVBand="1"/>
      </w:tblPr>
      <w:tblGrid>
        <w:gridCol w:w="8505"/>
        <w:gridCol w:w="4925"/>
      </w:tblGrid>
      <w:tr w:rsidR="006E02A8" w:rsidRPr="006E02A8" w:rsidTr="006E02A8">
        <w:tc>
          <w:tcPr>
            <w:tcW w:w="8505" w:type="dxa"/>
          </w:tcPr>
          <w:p w:rsidR="006E02A8" w:rsidRPr="006E02A8" w:rsidRDefault="006E02A8" w:rsidP="00953ED6">
            <w:pPr>
              <w:pStyle w:val="Kop3"/>
              <w:rPr>
                <w:lang w:val="nl-BE"/>
              </w:rPr>
            </w:pPr>
            <w:r w:rsidRPr="006E02A8">
              <w:t>Extension d’un feu naissant</w:t>
            </w:r>
          </w:p>
        </w:tc>
        <w:tc>
          <w:tcPr>
            <w:tcW w:w="4925" w:type="dxa"/>
          </w:tcPr>
          <w:p w:rsidR="006E02A8" w:rsidRPr="006E02A8" w:rsidRDefault="006E02A8" w:rsidP="006E02A8"/>
        </w:tc>
      </w:tr>
      <w:tr w:rsidR="006E02A8" w:rsidRPr="00B42730" w:rsidTr="006E02A8">
        <w:tc>
          <w:tcPr>
            <w:tcW w:w="8505" w:type="dxa"/>
          </w:tcPr>
          <w:p w:rsidR="006E02A8" w:rsidRPr="006E02A8" w:rsidRDefault="006E02A8" w:rsidP="00953ED6">
            <w:pPr>
              <w:pStyle w:val="Mesure"/>
              <w:rPr>
                <w:szCs w:val="20"/>
              </w:rPr>
            </w:pPr>
            <w:r w:rsidRPr="006E02A8">
              <w:t>Extincteurs portatifs à hauteur du poste de (dé)chargement</w:t>
            </w:r>
          </w:p>
        </w:tc>
        <w:tc>
          <w:tcPr>
            <w:tcW w:w="4925" w:type="dxa"/>
          </w:tcPr>
          <w:p w:rsidR="006E02A8" w:rsidRPr="006E02A8" w:rsidRDefault="006E02A8" w:rsidP="006E02A8">
            <w:pPr>
              <w:rPr>
                <w:lang w:val="fr-FR"/>
              </w:rPr>
            </w:pPr>
          </w:p>
        </w:tc>
      </w:tr>
      <w:tr w:rsidR="006E02A8" w:rsidRPr="00B42730" w:rsidTr="006E02A8">
        <w:tc>
          <w:tcPr>
            <w:tcW w:w="8505" w:type="dxa"/>
          </w:tcPr>
          <w:p w:rsidR="006E02A8" w:rsidRPr="006E02A8" w:rsidRDefault="006E02A8" w:rsidP="00953ED6">
            <w:pPr>
              <w:pStyle w:val="Toelichtingvraag"/>
              <w:ind w:left="0"/>
              <w:rPr>
                <w:lang w:val="fr-BE"/>
              </w:rPr>
            </w:pPr>
            <w:r w:rsidRPr="006E02A8">
              <w:rPr>
                <w:lang w:val="fr-BE"/>
              </w:rPr>
              <w:t>Les extincteurs portatifs ne sont pas adaptés pour éteindre un feu de gaz. Ils peuvent par contre être utilisés pour éteindre d’autres feux naissant.</w:t>
            </w:r>
          </w:p>
        </w:tc>
        <w:tc>
          <w:tcPr>
            <w:tcW w:w="4925" w:type="dxa"/>
          </w:tcPr>
          <w:p w:rsidR="006E02A8" w:rsidRPr="006E02A8" w:rsidRDefault="006E02A8" w:rsidP="006E02A8">
            <w:pPr>
              <w:rPr>
                <w:lang w:val="fr-BE"/>
              </w:rPr>
            </w:pPr>
          </w:p>
        </w:tc>
      </w:tr>
      <w:tr w:rsidR="006E02A8" w:rsidRPr="006E02A8" w:rsidTr="006E02A8">
        <w:tc>
          <w:tcPr>
            <w:tcW w:w="8505" w:type="dxa"/>
          </w:tcPr>
          <w:p w:rsidR="006E02A8" w:rsidRPr="006E02A8" w:rsidRDefault="006E02A8" w:rsidP="00953ED6">
            <w:pPr>
              <w:pStyle w:val="Toelichtingvraag"/>
              <w:ind w:left="0"/>
              <w:rPr>
                <w:lang w:val="fr-BE"/>
              </w:rPr>
            </w:pPr>
            <w:r w:rsidRPr="006E02A8">
              <w:rPr>
                <w:lang w:val="fr-BE"/>
              </w:rPr>
              <w:t>Nombre et localisation</w:t>
            </w:r>
          </w:p>
        </w:tc>
        <w:tc>
          <w:tcPr>
            <w:tcW w:w="4925" w:type="dxa"/>
          </w:tcPr>
          <w:p w:rsidR="006E02A8" w:rsidRPr="006E02A8" w:rsidRDefault="006E02A8" w:rsidP="006E02A8">
            <w:pPr>
              <w:rPr>
                <w:lang w:val="fr-BE"/>
              </w:rPr>
            </w:pPr>
          </w:p>
        </w:tc>
      </w:tr>
      <w:tr w:rsidR="006E02A8" w:rsidRPr="006E02A8" w:rsidTr="006E02A8">
        <w:tc>
          <w:tcPr>
            <w:tcW w:w="8505" w:type="dxa"/>
          </w:tcPr>
          <w:p w:rsidR="006E02A8" w:rsidRPr="006E02A8" w:rsidRDefault="006E02A8" w:rsidP="00953ED6">
            <w:pPr>
              <w:pStyle w:val="toelichtingvraaginsprong1"/>
            </w:pPr>
            <w:r w:rsidRPr="006E02A8">
              <w:t>Facilement accessibles</w:t>
            </w:r>
          </w:p>
        </w:tc>
        <w:tc>
          <w:tcPr>
            <w:tcW w:w="4925" w:type="dxa"/>
          </w:tcPr>
          <w:p w:rsidR="006E02A8" w:rsidRPr="006E02A8" w:rsidRDefault="006E02A8" w:rsidP="006E02A8"/>
        </w:tc>
      </w:tr>
      <w:tr w:rsidR="006E02A8" w:rsidRPr="00B42730" w:rsidTr="006E02A8">
        <w:tc>
          <w:tcPr>
            <w:tcW w:w="8505" w:type="dxa"/>
          </w:tcPr>
          <w:p w:rsidR="006E02A8" w:rsidRPr="006E02A8" w:rsidRDefault="006E02A8" w:rsidP="00953ED6">
            <w:pPr>
              <w:pStyle w:val="toelichtingvraaginsprong1"/>
              <w:rPr>
                <w:rFonts w:ascii="TTE1776740t00" w:hAnsi="TTE1776740t00" w:cs="TTE1776740t00"/>
              </w:rPr>
            </w:pPr>
            <w:r w:rsidRPr="006E02A8">
              <w:t xml:space="preserve">Déterminés en concertation avec le Service Incendie local compétent. Les conclusions figurent dans un rapport (rédigé par le Service Incendie local et/ou l'entreprise). </w:t>
            </w:r>
          </w:p>
        </w:tc>
        <w:tc>
          <w:tcPr>
            <w:tcW w:w="4925" w:type="dxa"/>
          </w:tcPr>
          <w:p w:rsidR="006E02A8" w:rsidRPr="006E02A8" w:rsidRDefault="006E02A8" w:rsidP="006E02A8">
            <w:pPr>
              <w:rPr>
                <w:lang w:val="fr-FR"/>
              </w:rPr>
            </w:pPr>
          </w:p>
        </w:tc>
      </w:tr>
      <w:tr w:rsidR="006E02A8" w:rsidRPr="006E02A8" w:rsidTr="006E02A8">
        <w:tc>
          <w:tcPr>
            <w:tcW w:w="8505" w:type="dxa"/>
          </w:tcPr>
          <w:p w:rsidR="006E02A8" w:rsidRPr="006E02A8" w:rsidRDefault="006E02A8" w:rsidP="00953ED6">
            <w:pPr>
              <w:pStyle w:val="Toelichtingvraag"/>
              <w:ind w:left="0"/>
              <w:rPr>
                <w:lang w:val="fr-BE"/>
              </w:rPr>
            </w:pPr>
            <w:r w:rsidRPr="006E02A8">
              <w:rPr>
                <w:lang w:val="fr-BE"/>
              </w:rPr>
              <w:t>Inspection et entretien</w:t>
            </w:r>
          </w:p>
        </w:tc>
        <w:tc>
          <w:tcPr>
            <w:tcW w:w="4925" w:type="dxa"/>
          </w:tcPr>
          <w:p w:rsidR="006E02A8" w:rsidRPr="006E02A8" w:rsidRDefault="006E02A8" w:rsidP="006E02A8">
            <w:pPr>
              <w:rPr>
                <w:lang w:val="fr-BE"/>
              </w:rPr>
            </w:pPr>
          </w:p>
        </w:tc>
      </w:tr>
      <w:tr w:rsidR="006E02A8" w:rsidRPr="00B42730" w:rsidTr="006E02A8">
        <w:tc>
          <w:tcPr>
            <w:tcW w:w="8505" w:type="dxa"/>
          </w:tcPr>
          <w:p w:rsidR="006E02A8" w:rsidRPr="006E02A8" w:rsidRDefault="006E02A8" w:rsidP="00953ED6">
            <w:pPr>
              <w:pStyle w:val="toelichtingvraaginsprong1"/>
            </w:pPr>
            <w:r w:rsidRPr="006E02A8">
              <w:t>Les extincteurs portatifs sont repris dans un programme d'inspection/entretien:</w:t>
            </w:r>
          </w:p>
        </w:tc>
        <w:tc>
          <w:tcPr>
            <w:tcW w:w="4925" w:type="dxa"/>
          </w:tcPr>
          <w:p w:rsidR="006E02A8" w:rsidRPr="006E02A8" w:rsidRDefault="006E02A8" w:rsidP="006E02A8">
            <w:pPr>
              <w:rPr>
                <w:lang w:val="fr-FR"/>
              </w:rPr>
            </w:pPr>
          </w:p>
        </w:tc>
      </w:tr>
      <w:tr w:rsidR="006E02A8" w:rsidRPr="00B42730" w:rsidTr="006E02A8">
        <w:tc>
          <w:tcPr>
            <w:tcW w:w="8505" w:type="dxa"/>
          </w:tcPr>
          <w:p w:rsidR="006E02A8" w:rsidRPr="006E02A8" w:rsidRDefault="006E02A8" w:rsidP="00953ED6">
            <w:pPr>
              <w:pStyle w:val="toelichtingvraaginsprong2"/>
            </w:pPr>
            <w:r w:rsidRPr="006E02A8">
              <w:t>contrôle visuel périodique de la présence et de l’accessibilité des extincteurs</w:t>
            </w:r>
          </w:p>
        </w:tc>
        <w:tc>
          <w:tcPr>
            <w:tcW w:w="4925" w:type="dxa"/>
          </w:tcPr>
          <w:p w:rsidR="006E02A8" w:rsidRPr="006E02A8" w:rsidRDefault="006E02A8" w:rsidP="006E02A8">
            <w:pPr>
              <w:rPr>
                <w:lang w:val="fr-FR"/>
              </w:rPr>
            </w:pPr>
          </w:p>
        </w:tc>
      </w:tr>
      <w:tr w:rsidR="006E02A8" w:rsidRPr="00B42730" w:rsidTr="006E02A8">
        <w:tc>
          <w:tcPr>
            <w:tcW w:w="8505" w:type="dxa"/>
          </w:tcPr>
          <w:p w:rsidR="006E02A8" w:rsidRPr="006E02A8" w:rsidRDefault="006E02A8" w:rsidP="00953ED6">
            <w:pPr>
              <w:pStyle w:val="toelichtingvraaginsprong2"/>
            </w:pPr>
            <w:r w:rsidRPr="006E02A8">
              <w:t>inspection annuelle approfondie de chaque extincteur par une personne qualifiée.</w:t>
            </w:r>
          </w:p>
        </w:tc>
        <w:tc>
          <w:tcPr>
            <w:tcW w:w="4925" w:type="dxa"/>
          </w:tcPr>
          <w:p w:rsidR="006E02A8" w:rsidRPr="006E02A8" w:rsidRDefault="006E02A8" w:rsidP="006E02A8">
            <w:pPr>
              <w:rPr>
                <w:lang w:val="fr-FR"/>
              </w:rPr>
            </w:pPr>
          </w:p>
        </w:tc>
      </w:tr>
      <w:tr w:rsidR="006E02A8" w:rsidRPr="006E02A8" w:rsidTr="006E02A8">
        <w:tc>
          <w:tcPr>
            <w:tcW w:w="8505" w:type="dxa"/>
          </w:tcPr>
          <w:p w:rsidR="006E02A8" w:rsidRPr="006E02A8" w:rsidRDefault="006E02A8" w:rsidP="00953ED6">
            <w:pPr>
              <w:pStyle w:val="Toelichtingvraag"/>
              <w:ind w:left="0"/>
              <w:rPr>
                <w:lang w:val="fr-BE"/>
              </w:rPr>
            </w:pPr>
            <w:r w:rsidRPr="006E02A8">
              <w:rPr>
                <w:lang w:val="fr-BE"/>
              </w:rPr>
              <w:t>Formation</w:t>
            </w:r>
          </w:p>
        </w:tc>
        <w:tc>
          <w:tcPr>
            <w:tcW w:w="4925" w:type="dxa"/>
          </w:tcPr>
          <w:p w:rsidR="006E02A8" w:rsidRPr="006E02A8" w:rsidRDefault="006E02A8" w:rsidP="006E02A8">
            <w:pPr>
              <w:rPr>
                <w:lang w:val="fr-BE"/>
              </w:rPr>
            </w:pPr>
          </w:p>
        </w:tc>
      </w:tr>
      <w:tr w:rsidR="006E02A8" w:rsidRPr="006E02A8" w:rsidTr="006E02A8">
        <w:tc>
          <w:tcPr>
            <w:tcW w:w="8505" w:type="dxa"/>
          </w:tcPr>
          <w:p w:rsidR="006E02A8" w:rsidRPr="006E02A8" w:rsidRDefault="006E02A8" w:rsidP="00953ED6">
            <w:pPr>
              <w:pStyle w:val="toelichtingvraaginsprong1"/>
            </w:pPr>
            <w:r w:rsidRPr="006E02A8">
              <w:t>Les travailleurs reçoivent un entraînement périodique à l'utilisation d'extincteurs portatifs. La participation à ces formations est enregistrée.</w:t>
            </w:r>
          </w:p>
        </w:tc>
        <w:tc>
          <w:tcPr>
            <w:tcW w:w="4925" w:type="dxa"/>
          </w:tcPr>
          <w:p w:rsidR="006E02A8" w:rsidRPr="006E02A8" w:rsidRDefault="006E02A8" w:rsidP="006E02A8"/>
        </w:tc>
      </w:tr>
      <w:tr w:rsidR="006E02A8" w:rsidRPr="006E02A8" w:rsidTr="006E02A8">
        <w:tc>
          <w:tcPr>
            <w:tcW w:w="8505" w:type="dxa"/>
          </w:tcPr>
          <w:p w:rsidR="006E02A8" w:rsidRPr="006E02A8" w:rsidRDefault="006E02A8" w:rsidP="00953ED6">
            <w:pPr>
              <w:pStyle w:val="Toelichtingvraag"/>
              <w:ind w:left="0"/>
              <w:rPr>
                <w:lang w:val="fr-BE"/>
              </w:rPr>
            </w:pPr>
            <w:r w:rsidRPr="006E02A8">
              <w:rPr>
                <w:lang w:val="fr-BE"/>
              </w:rPr>
              <w:lastRenderedPageBreak/>
              <w:t>Signalisation</w:t>
            </w:r>
          </w:p>
        </w:tc>
        <w:tc>
          <w:tcPr>
            <w:tcW w:w="4925" w:type="dxa"/>
          </w:tcPr>
          <w:p w:rsidR="006E02A8" w:rsidRPr="006E02A8" w:rsidRDefault="006E02A8" w:rsidP="006E02A8">
            <w:pPr>
              <w:rPr>
                <w:lang w:val="fr-BE"/>
              </w:rPr>
            </w:pPr>
          </w:p>
        </w:tc>
      </w:tr>
      <w:tr w:rsidR="006E02A8" w:rsidRPr="00B42730" w:rsidTr="006E02A8">
        <w:tc>
          <w:tcPr>
            <w:tcW w:w="8505" w:type="dxa"/>
          </w:tcPr>
          <w:p w:rsidR="006E02A8" w:rsidRPr="006E02A8" w:rsidRDefault="006E02A8" w:rsidP="00953ED6">
            <w:pPr>
              <w:pStyle w:val="toelichtingvraaginsprong1"/>
            </w:pPr>
            <w:r w:rsidRPr="006E02A8">
              <w:t>Les extincteurs portatifs sont peints en rouge et clairement signalés.</w:t>
            </w:r>
          </w:p>
        </w:tc>
        <w:tc>
          <w:tcPr>
            <w:tcW w:w="4925" w:type="dxa"/>
          </w:tcPr>
          <w:p w:rsidR="006E02A8" w:rsidRPr="006E02A8" w:rsidRDefault="006E02A8" w:rsidP="006E02A8">
            <w:pPr>
              <w:rPr>
                <w:lang w:val="fr-FR"/>
              </w:rPr>
            </w:pPr>
          </w:p>
        </w:tc>
      </w:tr>
      <w:tr w:rsidR="006E02A8" w:rsidRPr="006E02A8" w:rsidTr="006E02A8">
        <w:tc>
          <w:tcPr>
            <w:tcW w:w="8505" w:type="dxa"/>
          </w:tcPr>
          <w:p w:rsidR="006E02A8" w:rsidRPr="006E02A8" w:rsidRDefault="006E02A8" w:rsidP="00953ED6">
            <w:pPr>
              <w:pStyle w:val="Kop3"/>
            </w:pPr>
            <w:r w:rsidRPr="006E02A8">
              <w:t>Brûlures du personnel</w:t>
            </w:r>
          </w:p>
        </w:tc>
        <w:tc>
          <w:tcPr>
            <w:tcW w:w="4925" w:type="dxa"/>
          </w:tcPr>
          <w:p w:rsidR="006E02A8" w:rsidRPr="006E02A8" w:rsidRDefault="006E02A8" w:rsidP="006E02A8"/>
        </w:tc>
      </w:tr>
      <w:tr w:rsidR="006E02A8" w:rsidRPr="00B42730" w:rsidTr="006E02A8">
        <w:tc>
          <w:tcPr>
            <w:tcW w:w="8505" w:type="dxa"/>
          </w:tcPr>
          <w:p w:rsidR="006E02A8" w:rsidRPr="006E02A8" w:rsidRDefault="006E02A8" w:rsidP="00953ED6">
            <w:pPr>
              <w:pStyle w:val="vraag0"/>
              <w:numPr>
                <w:ilvl w:val="0"/>
                <w:numId w:val="2"/>
              </w:numPr>
              <w:tabs>
                <w:tab w:val="clear" w:pos="3686"/>
                <w:tab w:val="num" w:pos="567"/>
              </w:tabs>
              <w:ind w:left="567"/>
              <w:rPr>
                <w:b/>
                <w:i w:val="0"/>
                <w:sz w:val="20"/>
                <w:szCs w:val="20"/>
              </w:rPr>
            </w:pPr>
            <w:r w:rsidRPr="006E02A8">
              <w:rPr>
                <w:b/>
                <w:i w:val="0"/>
                <w:sz w:val="20"/>
                <w:szCs w:val="20"/>
              </w:rPr>
              <w:t>Vêtements retardateurs de feu pour le personnel de (dé)chargement</w:t>
            </w:r>
          </w:p>
        </w:tc>
        <w:tc>
          <w:tcPr>
            <w:tcW w:w="4925" w:type="dxa"/>
          </w:tcPr>
          <w:p w:rsidR="006E02A8" w:rsidRPr="00B42730" w:rsidRDefault="006E02A8" w:rsidP="006E02A8">
            <w:pPr>
              <w:rPr>
                <w:b/>
                <w:i/>
                <w:szCs w:val="20"/>
                <w:lang w:val="fr-FR"/>
              </w:rPr>
            </w:pPr>
          </w:p>
        </w:tc>
      </w:tr>
      <w:tr w:rsidR="006E02A8" w:rsidRPr="00B42730" w:rsidTr="006E02A8">
        <w:tc>
          <w:tcPr>
            <w:tcW w:w="8505" w:type="dxa"/>
          </w:tcPr>
          <w:p w:rsidR="006E02A8" w:rsidRPr="006E02A8" w:rsidRDefault="006E02A8" w:rsidP="00953ED6">
            <w:pPr>
              <w:pStyle w:val="Toelichtingvraag"/>
              <w:ind w:left="0"/>
              <w:rPr>
                <w:lang w:val="fr-BE"/>
              </w:rPr>
            </w:pPr>
            <w:r w:rsidRPr="006E02A8">
              <w:rPr>
                <w:lang w:val="fr-BE"/>
              </w:rPr>
              <w:t xml:space="preserve">Des vêtements retardateurs de feu ou de flamme offrent à la personne qui les porte une protection contre le feu et le rayonnement de chaleur. </w:t>
            </w:r>
          </w:p>
        </w:tc>
        <w:tc>
          <w:tcPr>
            <w:tcW w:w="4925" w:type="dxa"/>
          </w:tcPr>
          <w:p w:rsidR="006E02A8" w:rsidRPr="006E02A8" w:rsidRDefault="006E02A8" w:rsidP="006E02A8">
            <w:pPr>
              <w:rPr>
                <w:lang w:val="fr-BE"/>
              </w:rPr>
            </w:pPr>
          </w:p>
        </w:tc>
      </w:tr>
      <w:tr w:rsidR="006E02A8" w:rsidRPr="00B42730" w:rsidTr="006E02A8">
        <w:tc>
          <w:tcPr>
            <w:tcW w:w="8505" w:type="dxa"/>
          </w:tcPr>
          <w:p w:rsidR="006E02A8" w:rsidRPr="006E02A8" w:rsidRDefault="006E02A8" w:rsidP="00953ED6">
            <w:pPr>
              <w:pStyle w:val="Toelichtingvraag"/>
              <w:ind w:left="0"/>
              <w:rPr>
                <w:b/>
                <w:lang w:val="fr-BE"/>
              </w:rPr>
            </w:pPr>
            <w:r w:rsidRPr="006E02A8">
              <w:rPr>
                <w:rFonts w:cs="TTE1404D78t00"/>
                <w:lang w:val="fr-BE"/>
              </w:rPr>
              <w:t>De tels vêtements font l’objet de la norme NBN EN ISO 11612 Vêtements de protection - Vêtements de protection contre la chaleur et les flammes.</w:t>
            </w:r>
          </w:p>
        </w:tc>
        <w:tc>
          <w:tcPr>
            <w:tcW w:w="4925" w:type="dxa"/>
          </w:tcPr>
          <w:p w:rsidR="006E02A8" w:rsidRPr="006E02A8" w:rsidRDefault="006E02A8" w:rsidP="006E02A8">
            <w:pPr>
              <w:rPr>
                <w:rFonts w:cs="TTE1404D78t00"/>
                <w:lang w:val="fr-BE"/>
              </w:rPr>
            </w:pPr>
          </w:p>
        </w:tc>
      </w:tr>
    </w:tbl>
    <w:p w:rsidR="00E4290B" w:rsidRPr="00C05350" w:rsidRDefault="00E4290B" w:rsidP="00E4290B">
      <w:pPr>
        <w:rPr>
          <w:lang w:val="fr-BE"/>
        </w:rPr>
      </w:pPr>
    </w:p>
    <w:p w:rsidR="00E4290B" w:rsidRDefault="00E4290B" w:rsidP="002151E9">
      <w:pPr>
        <w:rPr>
          <w:lang w:val="fr-BE"/>
        </w:rPr>
      </w:pPr>
      <w:r w:rsidRPr="00C05350">
        <w:rPr>
          <w:lang w:val="fr-BE"/>
        </w:rPr>
        <w:br w:type="page"/>
      </w:r>
    </w:p>
    <w:p w:rsidR="005A6F16" w:rsidRDefault="005A6F16" w:rsidP="002151E9">
      <w:pPr>
        <w:rPr>
          <w:lang w:val="fr-BE"/>
        </w:rPr>
      </w:pPr>
    </w:p>
    <w:p w:rsidR="008A6CE8" w:rsidRPr="0052522C" w:rsidRDefault="008A6CE8" w:rsidP="00A70AF4">
      <w:pPr>
        <w:pStyle w:val="Kop2"/>
      </w:pPr>
      <w:bookmarkStart w:id="84" w:name="_Toc496177880"/>
      <w:r w:rsidRPr="0052522C">
        <w:t>Evacuation et sauvetage au quai de (dé)chargement</w:t>
      </w:r>
      <w:bookmarkEnd w:id="82"/>
      <w:bookmarkEnd w:id="84"/>
    </w:p>
    <w:tbl>
      <w:tblPr>
        <w:tblStyle w:val="Tabelraster"/>
        <w:tblW w:w="0" w:type="auto"/>
        <w:tblInd w:w="567" w:type="dxa"/>
        <w:tblLook w:val="04A0" w:firstRow="1" w:lastRow="0" w:firstColumn="1" w:lastColumn="0" w:noHBand="0" w:noVBand="1"/>
      </w:tblPr>
      <w:tblGrid>
        <w:gridCol w:w="8359"/>
        <w:gridCol w:w="5066"/>
      </w:tblGrid>
      <w:tr w:rsidR="00D55937" w:rsidRPr="00B42730" w:rsidTr="00D55937">
        <w:tc>
          <w:tcPr>
            <w:tcW w:w="8359" w:type="dxa"/>
          </w:tcPr>
          <w:p w:rsidR="00D55937" w:rsidRPr="00D55937" w:rsidRDefault="00D55937" w:rsidP="00216A7F">
            <w:pPr>
              <w:pStyle w:val="Mesure"/>
            </w:pPr>
            <w:r w:rsidRPr="00D55937">
              <w:t>Voies d'évacuation ((dé)chargement de bateau)</w:t>
            </w:r>
          </w:p>
        </w:tc>
        <w:tc>
          <w:tcPr>
            <w:tcW w:w="5066" w:type="dxa"/>
          </w:tcPr>
          <w:p w:rsidR="00D55937" w:rsidRPr="00D55937" w:rsidRDefault="00D55937" w:rsidP="00D55937">
            <w:pPr>
              <w:rPr>
                <w:lang w:val="fr-BE"/>
              </w:rPr>
            </w:pPr>
          </w:p>
        </w:tc>
      </w:tr>
      <w:tr w:rsidR="00D55937" w:rsidRPr="00B42730" w:rsidTr="00D55937">
        <w:tc>
          <w:tcPr>
            <w:tcW w:w="8359" w:type="dxa"/>
          </w:tcPr>
          <w:p w:rsidR="00D55937" w:rsidRPr="00D55937" w:rsidRDefault="00D55937" w:rsidP="00216A7F">
            <w:pPr>
              <w:pStyle w:val="Toelichtingvraag"/>
              <w:ind w:left="0"/>
              <w:rPr>
                <w:lang w:val="fr-BE"/>
              </w:rPr>
            </w:pPr>
            <w:r w:rsidRPr="00D55937">
              <w:rPr>
                <w:lang w:val="fr-BE"/>
              </w:rPr>
              <w:t>Selon l’ADN version 2015, l’installation à terre doit être équipée d’un ou de deux moyens d’évacuation permettant de quitter le bateau en cas d’urgence.</w:t>
            </w:r>
          </w:p>
        </w:tc>
        <w:tc>
          <w:tcPr>
            <w:tcW w:w="5066" w:type="dxa"/>
          </w:tcPr>
          <w:p w:rsidR="00D55937" w:rsidRPr="00D55937" w:rsidRDefault="00D55937" w:rsidP="00D55937">
            <w:pPr>
              <w:rPr>
                <w:lang w:val="fr-BE"/>
              </w:rPr>
            </w:pPr>
          </w:p>
        </w:tc>
      </w:tr>
      <w:tr w:rsidR="00D55937" w:rsidRPr="00B42730" w:rsidTr="00D55937">
        <w:tc>
          <w:tcPr>
            <w:tcW w:w="8359" w:type="dxa"/>
          </w:tcPr>
          <w:p w:rsidR="00D55937" w:rsidRPr="00D55937" w:rsidRDefault="00D55937" w:rsidP="00216A7F">
            <w:pPr>
              <w:pStyle w:val="Toelichtingvraag"/>
              <w:ind w:left="0"/>
              <w:rPr>
                <w:lang w:val="fr-BE"/>
              </w:rPr>
            </w:pPr>
            <w:r w:rsidRPr="00D55937">
              <w:rPr>
                <w:lang w:val="fr-BE"/>
              </w:rPr>
              <w:t>Lorsque les installations à terre ne sont pas équipées d’un second moyen d’évacuation, le transporteur a l’obligation de s’assurer qu’un second moyen d’évacuation soit présent le long du bateau.</w:t>
            </w:r>
          </w:p>
        </w:tc>
        <w:tc>
          <w:tcPr>
            <w:tcW w:w="5066" w:type="dxa"/>
          </w:tcPr>
          <w:p w:rsidR="00D55937" w:rsidRPr="00D55937" w:rsidRDefault="00D55937" w:rsidP="00D55937">
            <w:pPr>
              <w:rPr>
                <w:lang w:val="fr-BE"/>
              </w:rPr>
            </w:pPr>
          </w:p>
        </w:tc>
      </w:tr>
      <w:tr w:rsidR="00D55937" w:rsidRPr="00B42730" w:rsidTr="00D55937">
        <w:tc>
          <w:tcPr>
            <w:tcW w:w="8359" w:type="dxa"/>
          </w:tcPr>
          <w:p w:rsidR="00D55937" w:rsidRPr="00D55937" w:rsidRDefault="00D55937" w:rsidP="00216A7F">
            <w:pPr>
              <w:pStyle w:val="Mesure"/>
            </w:pPr>
            <w:r w:rsidRPr="00D55937">
              <w:t>Le port de gilets de sauvetage</w:t>
            </w:r>
          </w:p>
        </w:tc>
        <w:tc>
          <w:tcPr>
            <w:tcW w:w="5066" w:type="dxa"/>
          </w:tcPr>
          <w:p w:rsidR="00D55937" w:rsidRPr="00B42730" w:rsidRDefault="00D55937" w:rsidP="00D55937">
            <w:pPr>
              <w:rPr>
                <w:lang w:val="fr-FR"/>
              </w:rPr>
            </w:pPr>
          </w:p>
        </w:tc>
      </w:tr>
      <w:tr w:rsidR="00D55937" w:rsidRPr="00B42730" w:rsidTr="00D55937">
        <w:tc>
          <w:tcPr>
            <w:tcW w:w="8359" w:type="dxa"/>
          </w:tcPr>
          <w:p w:rsidR="00D55937" w:rsidRPr="00D55937" w:rsidRDefault="00D55937" w:rsidP="00216A7F">
            <w:pPr>
              <w:pStyle w:val="Toelichtingvraag"/>
              <w:ind w:left="0"/>
              <w:rPr>
                <w:lang w:val="fr-BE"/>
              </w:rPr>
            </w:pPr>
            <w:r w:rsidRPr="00D55937">
              <w:rPr>
                <w:lang w:val="fr-BE"/>
              </w:rPr>
              <w:t>A proximité du bord du quai (non-clôturé), le port d’un gilet de sauvetage est obligatoire.</w:t>
            </w:r>
          </w:p>
        </w:tc>
        <w:tc>
          <w:tcPr>
            <w:tcW w:w="5066" w:type="dxa"/>
          </w:tcPr>
          <w:p w:rsidR="00D55937" w:rsidRPr="00D55937" w:rsidRDefault="00D55937" w:rsidP="00D55937">
            <w:pPr>
              <w:rPr>
                <w:lang w:val="fr-BE"/>
              </w:rPr>
            </w:pPr>
          </w:p>
        </w:tc>
      </w:tr>
      <w:tr w:rsidR="00D55937" w:rsidRPr="00B42730" w:rsidTr="00D55937">
        <w:tc>
          <w:tcPr>
            <w:tcW w:w="8359" w:type="dxa"/>
          </w:tcPr>
          <w:p w:rsidR="00D55937" w:rsidRPr="00D55937" w:rsidRDefault="00D55937" w:rsidP="00216A7F">
            <w:pPr>
              <w:pStyle w:val="Toelichtingvraag"/>
              <w:ind w:left="0"/>
              <w:rPr>
                <w:lang w:val="fr-BE"/>
              </w:rPr>
            </w:pPr>
            <w:r w:rsidRPr="00D55937">
              <w:rPr>
                <w:lang w:val="fr-BE"/>
              </w:rPr>
              <w:t>Est indiquée la zone dans laquelle le port d’un gilet de sauvetage est obligatoire.</w:t>
            </w:r>
          </w:p>
        </w:tc>
        <w:tc>
          <w:tcPr>
            <w:tcW w:w="5066" w:type="dxa"/>
          </w:tcPr>
          <w:p w:rsidR="00D55937" w:rsidRPr="00D55937" w:rsidRDefault="00D55937" w:rsidP="00D55937">
            <w:pPr>
              <w:rPr>
                <w:lang w:val="fr-BE"/>
              </w:rPr>
            </w:pPr>
          </w:p>
        </w:tc>
      </w:tr>
    </w:tbl>
    <w:p w:rsidR="00A24FB3" w:rsidRPr="00C05350" w:rsidRDefault="00A24FB3">
      <w:pPr>
        <w:rPr>
          <w:lang w:val="fr-BE"/>
        </w:rPr>
      </w:pPr>
    </w:p>
    <w:p w:rsidR="00A24FB3" w:rsidRPr="00C05350" w:rsidRDefault="00A24FB3">
      <w:pPr>
        <w:rPr>
          <w:lang w:val="fr-BE"/>
        </w:rPr>
        <w:sectPr w:rsidR="00A24FB3" w:rsidRPr="00C05350" w:rsidSect="005A6F16">
          <w:footerReference w:type="even" r:id="rId18"/>
          <w:footerReference w:type="default" r:id="rId19"/>
          <w:type w:val="oddPage"/>
          <w:pgSz w:w="16838" w:h="11906" w:orient="landscape" w:code="9"/>
          <w:pgMar w:top="1418" w:right="1418" w:bottom="1418" w:left="1418" w:header="709" w:footer="709" w:gutter="0"/>
          <w:cols w:space="708"/>
          <w:docGrid w:linePitch="360"/>
        </w:sectPr>
      </w:pPr>
    </w:p>
    <w:p w:rsidR="009E4B50" w:rsidRPr="0052522C" w:rsidRDefault="009E4B50" w:rsidP="00BB1139">
      <w:pPr>
        <w:pStyle w:val="Kop1"/>
        <w:spacing w:before="600"/>
        <w:ind w:left="426" w:firstLine="7937"/>
      </w:pPr>
      <w:bookmarkStart w:id="85" w:name="_Toc496177881"/>
      <w:r w:rsidRPr="00DD491F">
        <w:lastRenderedPageBreak/>
        <w:br/>
      </w:r>
      <w:r w:rsidR="00F910A6" w:rsidRPr="0052522C">
        <w:t>Stockage et r</w:t>
      </w:r>
      <w:r w:rsidR="00CD324A" w:rsidRPr="0052522C">
        <w:t>emplissage en</w:t>
      </w:r>
      <w:r w:rsidR="009D4441" w:rsidRPr="0052522C">
        <w:t xml:space="preserve"> bouteilles de gaz</w:t>
      </w:r>
      <w:bookmarkEnd w:id="85"/>
    </w:p>
    <w:p w:rsidR="009C07DA" w:rsidRPr="0052522C" w:rsidRDefault="009C07DA" w:rsidP="0052013A">
      <w:pPr>
        <w:pStyle w:val="Kop2"/>
        <w:spacing w:after="120"/>
      </w:pPr>
      <w:bookmarkStart w:id="86" w:name="_Toc424747682"/>
      <w:bookmarkStart w:id="87" w:name="_Toc496177882"/>
      <w:r w:rsidRPr="0052522C">
        <w:t>Maîtrise des déviations de procédé</w:t>
      </w:r>
      <w:bookmarkEnd w:id="86"/>
      <w:bookmarkEnd w:id="87"/>
    </w:p>
    <w:tbl>
      <w:tblPr>
        <w:tblStyle w:val="Tabelraster"/>
        <w:tblW w:w="0" w:type="auto"/>
        <w:tblInd w:w="567" w:type="dxa"/>
        <w:tblLook w:val="04A0" w:firstRow="1" w:lastRow="0" w:firstColumn="1" w:lastColumn="0" w:noHBand="0" w:noVBand="1"/>
      </w:tblPr>
      <w:tblGrid>
        <w:gridCol w:w="8500"/>
        <w:gridCol w:w="4925"/>
      </w:tblGrid>
      <w:tr w:rsidR="00742A4B" w:rsidRPr="00B42730" w:rsidTr="00742A4B">
        <w:tc>
          <w:tcPr>
            <w:tcW w:w="8500" w:type="dxa"/>
          </w:tcPr>
          <w:p w:rsidR="00742A4B" w:rsidRPr="00742A4B" w:rsidRDefault="00742A4B" w:rsidP="00303697">
            <w:pPr>
              <w:pStyle w:val="Mesure"/>
            </w:pPr>
            <w:r w:rsidRPr="00742A4B">
              <w:t>Instruction pour le remplissage en récipients transportables</w:t>
            </w:r>
          </w:p>
        </w:tc>
        <w:tc>
          <w:tcPr>
            <w:tcW w:w="4925" w:type="dxa"/>
          </w:tcPr>
          <w:p w:rsidR="00742A4B" w:rsidRPr="00742A4B" w:rsidRDefault="00742A4B" w:rsidP="00742A4B">
            <w:pPr>
              <w:rPr>
                <w:lang w:val="fr-BE"/>
              </w:rPr>
            </w:pPr>
          </w:p>
        </w:tc>
      </w:tr>
      <w:tr w:rsidR="00742A4B" w:rsidRPr="00B42730" w:rsidTr="00742A4B">
        <w:tc>
          <w:tcPr>
            <w:tcW w:w="8500" w:type="dxa"/>
          </w:tcPr>
          <w:p w:rsidR="00742A4B" w:rsidRPr="00742A4B" w:rsidRDefault="00742A4B" w:rsidP="00303697">
            <w:pPr>
              <w:pStyle w:val="Toelichtingvraag"/>
              <w:ind w:left="0"/>
              <w:rPr>
                <w:lang w:val="fr-BE"/>
              </w:rPr>
            </w:pPr>
            <w:r w:rsidRPr="00742A4B">
              <w:rPr>
                <w:lang w:val="fr-BE"/>
              </w:rPr>
              <w:t>Un opérateur contrôle en permanence le déroulement du remplissage.</w:t>
            </w:r>
          </w:p>
        </w:tc>
        <w:tc>
          <w:tcPr>
            <w:tcW w:w="4925" w:type="dxa"/>
          </w:tcPr>
          <w:p w:rsidR="00742A4B" w:rsidRPr="00742A4B" w:rsidRDefault="00742A4B" w:rsidP="00742A4B">
            <w:pPr>
              <w:rPr>
                <w:lang w:val="fr-BE"/>
              </w:rPr>
            </w:pPr>
          </w:p>
        </w:tc>
      </w:tr>
      <w:tr w:rsidR="00742A4B" w:rsidRPr="00B42730" w:rsidTr="00742A4B">
        <w:tc>
          <w:tcPr>
            <w:tcW w:w="8500" w:type="dxa"/>
          </w:tcPr>
          <w:p w:rsidR="00742A4B" w:rsidRPr="00742A4B" w:rsidRDefault="00742A4B" w:rsidP="00303697">
            <w:pPr>
              <w:pStyle w:val="Mesure"/>
            </w:pPr>
            <w:r w:rsidRPr="00742A4B">
              <w:t>Vérification de l'étanchéité après le remplissage</w:t>
            </w:r>
          </w:p>
        </w:tc>
        <w:tc>
          <w:tcPr>
            <w:tcW w:w="4925" w:type="dxa"/>
          </w:tcPr>
          <w:p w:rsidR="00742A4B" w:rsidRPr="00B42730" w:rsidRDefault="00742A4B" w:rsidP="00742A4B">
            <w:pPr>
              <w:rPr>
                <w:lang w:val="fr-FR"/>
              </w:rPr>
            </w:pPr>
          </w:p>
        </w:tc>
      </w:tr>
      <w:tr w:rsidR="00742A4B" w:rsidRPr="00742A4B" w:rsidTr="00742A4B">
        <w:tc>
          <w:tcPr>
            <w:tcW w:w="8500" w:type="dxa"/>
          </w:tcPr>
          <w:p w:rsidR="00742A4B" w:rsidRPr="00742A4B" w:rsidRDefault="00742A4B" w:rsidP="00303697">
            <w:pPr>
              <w:pStyle w:val="Mesure"/>
            </w:pPr>
            <w:r w:rsidRPr="00742A4B">
              <w:t>Vidange des bouteilles défectueuses</w:t>
            </w:r>
          </w:p>
        </w:tc>
        <w:tc>
          <w:tcPr>
            <w:tcW w:w="4925" w:type="dxa"/>
          </w:tcPr>
          <w:p w:rsidR="00742A4B" w:rsidRPr="00742A4B" w:rsidRDefault="00742A4B" w:rsidP="00742A4B"/>
        </w:tc>
      </w:tr>
      <w:tr w:rsidR="00742A4B" w:rsidRPr="00B42730" w:rsidTr="00742A4B">
        <w:tc>
          <w:tcPr>
            <w:tcW w:w="8500" w:type="dxa"/>
          </w:tcPr>
          <w:p w:rsidR="00742A4B" w:rsidRPr="00742A4B" w:rsidRDefault="00742A4B" w:rsidP="00303697">
            <w:pPr>
              <w:pStyle w:val="Toelichtingvraag"/>
              <w:ind w:left="0"/>
              <w:rPr>
                <w:lang w:val="fr-BE"/>
              </w:rPr>
            </w:pPr>
            <w:r w:rsidRPr="00742A4B">
              <w:rPr>
                <w:lang w:val="fr-BE"/>
              </w:rPr>
              <w:t>Il y a une installation pour vider les bouteilles sans que le gaz ne soit soufflé à l'atmosphère. Une possibilité est constituée par une installation de basculement où la bouteille est placée sur sa tête et ensuite vidée par aspiration vers un réservoir de stockage à l'aide d'une pompe.</w:t>
            </w:r>
          </w:p>
        </w:tc>
        <w:tc>
          <w:tcPr>
            <w:tcW w:w="4925" w:type="dxa"/>
          </w:tcPr>
          <w:p w:rsidR="00742A4B" w:rsidRPr="00742A4B" w:rsidRDefault="00742A4B" w:rsidP="00742A4B">
            <w:pPr>
              <w:rPr>
                <w:lang w:val="fr-BE"/>
              </w:rPr>
            </w:pPr>
          </w:p>
        </w:tc>
      </w:tr>
    </w:tbl>
    <w:p w:rsidR="009C07DA" w:rsidRPr="0052522C" w:rsidRDefault="009C07DA" w:rsidP="0052013A">
      <w:pPr>
        <w:pStyle w:val="Kop2"/>
        <w:spacing w:before="360" w:after="120"/>
      </w:pPr>
      <w:bookmarkStart w:id="88" w:name="_Toc424747683"/>
      <w:bookmarkStart w:id="89" w:name="_Toc496177883"/>
      <w:r w:rsidRPr="0052522C">
        <w:t>Gestion de la dégradation</w:t>
      </w:r>
      <w:bookmarkEnd w:id="88"/>
      <w:bookmarkEnd w:id="89"/>
    </w:p>
    <w:tbl>
      <w:tblPr>
        <w:tblStyle w:val="Tabelraster"/>
        <w:tblW w:w="0" w:type="auto"/>
        <w:tblInd w:w="567" w:type="dxa"/>
        <w:tblLook w:val="04A0" w:firstRow="1" w:lastRow="0" w:firstColumn="1" w:lastColumn="0" w:noHBand="0" w:noVBand="1"/>
      </w:tblPr>
      <w:tblGrid>
        <w:gridCol w:w="8500"/>
        <w:gridCol w:w="4925"/>
      </w:tblGrid>
      <w:tr w:rsidR="00E02228" w:rsidRPr="00E02228" w:rsidTr="00E02228">
        <w:tc>
          <w:tcPr>
            <w:tcW w:w="8500" w:type="dxa"/>
          </w:tcPr>
          <w:p w:rsidR="00E02228" w:rsidRPr="00E02228" w:rsidRDefault="00E02228" w:rsidP="008F13C6">
            <w:pPr>
              <w:pStyle w:val="Mesure"/>
            </w:pPr>
            <w:r w:rsidRPr="00E02228">
              <w:t>Bon état des bouteilles</w:t>
            </w:r>
          </w:p>
        </w:tc>
        <w:tc>
          <w:tcPr>
            <w:tcW w:w="4925" w:type="dxa"/>
          </w:tcPr>
          <w:p w:rsidR="00E02228" w:rsidRPr="00E02228" w:rsidRDefault="00E02228" w:rsidP="00E02228"/>
        </w:tc>
      </w:tr>
      <w:tr w:rsidR="00E02228" w:rsidRPr="00B42730" w:rsidTr="00E02228">
        <w:tc>
          <w:tcPr>
            <w:tcW w:w="8500" w:type="dxa"/>
          </w:tcPr>
          <w:p w:rsidR="00E02228" w:rsidRPr="00E02228" w:rsidRDefault="00E02228" w:rsidP="008F13C6">
            <w:pPr>
              <w:pStyle w:val="Toelichtingvraag"/>
              <w:ind w:left="0"/>
              <w:rPr>
                <w:lang w:val="fr-BE"/>
              </w:rPr>
            </w:pPr>
            <w:r w:rsidRPr="00E02228">
              <w:rPr>
                <w:lang w:val="fr-BE"/>
              </w:rPr>
              <w:t>Il y a un contrôle systématique de l'état des bouteilles à remplir:</w:t>
            </w:r>
          </w:p>
        </w:tc>
        <w:tc>
          <w:tcPr>
            <w:tcW w:w="4925" w:type="dxa"/>
          </w:tcPr>
          <w:p w:rsidR="00E02228" w:rsidRPr="00E02228" w:rsidRDefault="00E02228" w:rsidP="00E02228">
            <w:pPr>
              <w:rPr>
                <w:lang w:val="fr-BE"/>
              </w:rPr>
            </w:pPr>
          </w:p>
        </w:tc>
      </w:tr>
      <w:tr w:rsidR="00E02228" w:rsidRPr="00B42730" w:rsidTr="00E02228">
        <w:tc>
          <w:tcPr>
            <w:tcW w:w="8500" w:type="dxa"/>
          </w:tcPr>
          <w:p w:rsidR="00E02228" w:rsidRPr="00E02228" w:rsidRDefault="00E02228" w:rsidP="008F13C6">
            <w:pPr>
              <w:pStyle w:val="Toelichtingvraag"/>
              <w:numPr>
                <w:ilvl w:val="0"/>
                <w:numId w:val="22"/>
              </w:numPr>
              <w:rPr>
                <w:lang w:val="fr-BE"/>
              </w:rPr>
            </w:pPr>
            <w:r w:rsidRPr="00E02228">
              <w:rPr>
                <w:lang w:val="fr-BE"/>
              </w:rPr>
              <w:lastRenderedPageBreak/>
              <w:t>présence ou non de défauts visuels (renfoncements, bosses, fissures, rouille)</w:t>
            </w:r>
          </w:p>
        </w:tc>
        <w:tc>
          <w:tcPr>
            <w:tcW w:w="4925" w:type="dxa"/>
          </w:tcPr>
          <w:p w:rsidR="00E02228" w:rsidRPr="00E02228" w:rsidRDefault="00E02228" w:rsidP="00E02228">
            <w:pPr>
              <w:rPr>
                <w:lang w:val="fr-BE"/>
              </w:rPr>
            </w:pPr>
          </w:p>
        </w:tc>
      </w:tr>
      <w:tr w:rsidR="00E02228" w:rsidRPr="00B42730" w:rsidTr="00E02228">
        <w:tc>
          <w:tcPr>
            <w:tcW w:w="8500" w:type="dxa"/>
          </w:tcPr>
          <w:p w:rsidR="00E02228" w:rsidRPr="00E02228" w:rsidRDefault="00E02228" w:rsidP="008F13C6">
            <w:pPr>
              <w:pStyle w:val="Toelichtingvraag"/>
              <w:numPr>
                <w:ilvl w:val="0"/>
                <w:numId w:val="22"/>
              </w:numPr>
              <w:rPr>
                <w:lang w:val="fr-BE"/>
              </w:rPr>
            </w:pPr>
            <w:r w:rsidRPr="00E02228">
              <w:rPr>
                <w:lang w:val="fr-BE"/>
              </w:rPr>
              <w:t>dépassement ou non de la date de réépreuve.</w:t>
            </w:r>
          </w:p>
        </w:tc>
        <w:tc>
          <w:tcPr>
            <w:tcW w:w="4925" w:type="dxa"/>
          </w:tcPr>
          <w:p w:rsidR="00E02228" w:rsidRPr="00E02228" w:rsidRDefault="00E02228" w:rsidP="00E02228">
            <w:pPr>
              <w:rPr>
                <w:lang w:val="fr-BE"/>
              </w:rPr>
            </w:pPr>
          </w:p>
        </w:tc>
      </w:tr>
      <w:tr w:rsidR="00E02228" w:rsidRPr="00B42730" w:rsidTr="00E02228">
        <w:tc>
          <w:tcPr>
            <w:tcW w:w="8500" w:type="dxa"/>
          </w:tcPr>
          <w:p w:rsidR="00E02228" w:rsidRPr="00E02228" w:rsidRDefault="00E02228" w:rsidP="008F13C6">
            <w:pPr>
              <w:pStyle w:val="Toelichtingvraag"/>
              <w:ind w:left="0"/>
              <w:rPr>
                <w:lang w:val="fr-BE"/>
              </w:rPr>
            </w:pPr>
            <w:r w:rsidRPr="00E02228">
              <w:rPr>
                <w:lang w:val="fr-BE"/>
              </w:rPr>
              <w:t xml:space="preserve">Les bouteilles en mauvais état ou dont la date de réépreuve est dépassée sont éliminées. </w:t>
            </w:r>
          </w:p>
        </w:tc>
        <w:tc>
          <w:tcPr>
            <w:tcW w:w="4925" w:type="dxa"/>
          </w:tcPr>
          <w:p w:rsidR="00E02228" w:rsidRPr="00E02228" w:rsidRDefault="00E02228" w:rsidP="00E02228">
            <w:pPr>
              <w:rPr>
                <w:lang w:val="fr-BE"/>
              </w:rPr>
            </w:pPr>
          </w:p>
        </w:tc>
      </w:tr>
      <w:tr w:rsidR="00E02228" w:rsidRPr="00B42730" w:rsidTr="00E02228">
        <w:tc>
          <w:tcPr>
            <w:tcW w:w="8500" w:type="dxa"/>
          </w:tcPr>
          <w:p w:rsidR="00E02228" w:rsidRPr="00E02228" w:rsidRDefault="00E02228" w:rsidP="008F13C6">
            <w:pPr>
              <w:pStyle w:val="Toelichtingvraag"/>
              <w:ind w:left="0"/>
              <w:rPr>
                <w:lang w:val="fr-BE"/>
              </w:rPr>
            </w:pPr>
            <w:r w:rsidRPr="00E02228">
              <w:rPr>
                <w:lang w:val="fr-BE"/>
              </w:rPr>
              <w:t>Le délai de réépreuve pour les gaz les plus courants s’élève à 10 ans, à l’exception de l’ammoniac et de l’oxyde d’éthylène (5 ans). Lorsque le fournisseur satisfait à certaines conditions, le délai de réépreuve pour les bouteilles de GPL/propane/butane peut être prolongé de 10 à 15 ans.</w:t>
            </w:r>
          </w:p>
        </w:tc>
        <w:tc>
          <w:tcPr>
            <w:tcW w:w="4925" w:type="dxa"/>
          </w:tcPr>
          <w:p w:rsidR="00E02228" w:rsidRPr="00E02228" w:rsidRDefault="00E02228" w:rsidP="00E02228">
            <w:pPr>
              <w:rPr>
                <w:lang w:val="fr-BE"/>
              </w:rPr>
            </w:pPr>
          </w:p>
        </w:tc>
      </w:tr>
    </w:tbl>
    <w:p w:rsidR="009C07DA" w:rsidRPr="0052522C" w:rsidRDefault="009C07DA" w:rsidP="00A70AF4">
      <w:pPr>
        <w:pStyle w:val="Kop2"/>
      </w:pPr>
      <w:bookmarkStart w:id="90" w:name="_Toc424747684"/>
      <w:bookmarkStart w:id="91" w:name="_Toc496177884"/>
      <w:r w:rsidRPr="0052522C">
        <w:t>Limitation de libérations accidentelles</w:t>
      </w:r>
      <w:bookmarkEnd w:id="90"/>
      <w:bookmarkEnd w:id="91"/>
    </w:p>
    <w:tbl>
      <w:tblPr>
        <w:tblStyle w:val="Tabelraster"/>
        <w:tblW w:w="0" w:type="auto"/>
        <w:tblInd w:w="567" w:type="dxa"/>
        <w:tblLook w:val="04A0" w:firstRow="1" w:lastRow="0" w:firstColumn="1" w:lastColumn="0" w:noHBand="0" w:noVBand="1"/>
      </w:tblPr>
      <w:tblGrid>
        <w:gridCol w:w="8500"/>
        <w:gridCol w:w="4925"/>
      </w:tblGrid>
      <w:tr w:rsidR="001C69C3" w:rsidRPr="00B42730" w:rsidTr="001C69C3">
        <w:tc>
          <w:tcPr>
            <w:tcW w:w="8500" w:type="dxa"/>
          </w:tcPr>
          <w:p w:rsidR="001C69C3" w:rsidRPr="003C01BD" w:rsidRDefault="001C69C3" w:rsidP="00ED5950">
            <w:pPr>
              <w:pStyle w:val="Mesure"/>
            </w:pPr>
            <w:r w:rsidRPr="003C01BD">
              <w:t>Détection de gaz au remplissage des bouteilles</w:t>
            </w:r>
          </w:p>
        </w:tc>
        <w:tc>
          <w:tcPr>
            <w:tcW w:w="4925" w:type="dxa"/>
          </w:tcPr>
          <w:p w:rsidR="001C69C3" w:rsidRPr="001C69C3" w:rsidRDefault="001C69C3" w:rsidP="001C69C3">
            <w:pPr>
              <w:rPr>
                <w:lang w:val="fr-FR"/>
              </w:rPr>
            </w:pPr>
          </w:p>
        </w:tc>
      </w:tr>
      <w:tr w:rsidR="001C69C3" w:rsidRPr="003C01BD" w:rsidTr="001C69C3">
        <w:tc>
          <w:tcPr>
            <w:tcW w:w="8500" w:type="dxa"/>
          </w:tcPr>
          <w:p w:rsidR="001C69C3" w:rsidRPr="003C01BD" w:rsidRDefault="001C69C3" w:rsidP="00ED5950">
            <w:pPr>
              <w:pStyle w:val="Toelichtingvraag"/>
              <w:ind w:left="0"/>
            </w:pPr>
            <w:r w:rsidRPr="003C01BD">
              <w:t>Actions</w:t>
            </w:r>
          </w:p>
        </w:tc>
        <w:tc>
          <w:tcPr>
            <w:tcW w:w="4925" w:type="dxa"/>
          </w:tcPr>
          <w:p w:rsidR="001C69C3" w:rsidRPr="003C01BD" w:rsidRDefault="001C69C3" w:rsidP="001C69C3"/>
        </w:tc>
      </w:tr>
      <w:tr w:rsidR="001C69C3" w:rsidRPr="00B42730" w:rsidTr="001C69C3">
        <w:tc>
          <w:tcPr>
            <w:tcW w:w="8500" w:type="dxa"/>
          </w:tcPr>
          <w:p w:rsidR="001C69C3" w:rsidRPr="003C01BD" w:rsidRDefault="001C69C3" w:rsidP="00ED5950">
            <w:pPr>
              <w:pStyle w:val="toelichtingvraaginsprong1"/>
              <w:numPr>
                <w:ilvl w:val="1"/>
                <w:numId w:val="23"/>
              </w:numPr>
            </w:pPr>
            <w:r w:rsidRPr="003C01BD">
              <w:t>Alarme sur place (valeur indicative pour le réglage de l’alarme: 10 à 20% de la LIE)</w:t>
            </w:r>
          </w:p>
        </w:tc>
        <w:tc>
          <w:tcPr>
            <w:tcW w:w="4925" w:type="dxa"/>
          </w:tcPr>
          <w:p w:rsidR="001C69C3" w:rsidRPr="00B42730" w:rsidRDefault="001C69C3" w:rsidP="001C69C3">
            <w:pPr>
              <w:rPr>
                <w:lang w:val="fr-FR"/>
              </w:rPr>
            </w:pPr>
          </w:p>
        </w:tc>
      </w:tr>
      <w:tr w:rsidR="001C69C3" w:rsidRPr="003C01BD" w:rsidTr="001C69C3">
        <w:tc>
          <w:tcPr>
            <w:tcW w:w="8500" w:type="dxa"/>
          </w:tcPr>
          <w:p w:rsidR="001C69C3" w:rsidRPr="003C01BD" w:rsidRDefault="001C69C3" w:rsidP="00ED5950">
            <w:pPr>
              <w:pStyle w:val="toelichtingvraaginsprong1"/>
              <w:numPr>
                <w:ilvl w:val="1"/>
                <w:numId w:val="23"/>
              </w:numPr>
            </w:pPr>
            <w:r w:rsidRPr="003C01BD">
              <w:t>Fermeture des vannes et arrêt de la pompe (valeur indicative pour le point de déclenchement: 20 à 40% de la LIE). [20]</w:t>
            </w:r>
          </w:p>
        </w:tc>
        <w:tc>
          <w:tcPr>
            <w:tcW w:w="4925" w:type="dxa"/>
          </w:tcPr>
          <w:p w:rsidR="001C69C3" w:rsidRPr="003C01BD" w:rsidRDefault="001C69C3" w:rsidP="001C69C3"/>
        </w:tc>
      </w:tr>
      <w:tr w:rsidR="001C69C3" w:rsidRPr="00B42730" w:rsidTr="001C69C3">
        <w:tc>
          <w:tcPr>
            <w:tcW w:w="8500" w:type="dxa"/>
          </w:tcPr>
          <w:p w:rsidR="001C69C3" w:rsidRPr="003C01BD" w:rsidRDefault="001C69C3" w:rsidP="00ED5950">
            <w:pPr>
              <w:pStyle w:val="Toelichtingvraag"/>
              <w:ind w:left="0"/>
              <w:rPr>
                <w:lang w:val="fr-FR"/>
              </w:rPr>
            </w:pPr>
            <w:r w:rsidRPr="003C01BD">
              <w:rPr>
                <w:lang w:val="fr-FR"/>
              </w:rPr>
              <w:t>Placement des points de mesures</w:t>
            </w:r>
          </w:p>
        </w:tc>
        <w:tc>
          <w:tcPr>
            <w:tcW w:w="4925" w:type="dxa"/>
          </w:tcPr>
          <w:p w:rsidR="001C69C3" w:rsidRPr="003C01BD" w:rsidRDefault="001C69C3" w:rsidP="001C69C3">
            <w:pPr>
              <w:rPr>
                <w:lang w:val="fr-FR"/>
              </w:rPr>
            </w:pPr>
          </w:p>
        </w:tc>
      </w:tr>
      <w:tr w:rsidR="001C69C3" w:rsidRPr="00B42730" w:rsidTr="001C69C3">
        <w:tc>
          <w:tcPr>
            <w:tcW w:w="8500" w:type="dxa"/>
          </w:tcPr>
          <w:p w:rsidR="001C69C3" w:rsidRPr="003C01BD" w:rsidRDefault="001C69C3" w:rsidP="00ED5950">
            <w:pPr>
              <w:pStyle w:val="toelichtingvraaginsprong1"/>
              <w:numPr>
                <w:ilvl w:val="1"/>
                <w:numId w:val="23"/>
              </w:numPr>
            </w:pPr>
            <w:r w:rsidRPr="003C01BD">
              <w:t>A hauteur des points de fuite possibles (comme p.e. à hauteur de la connexion et de la déconnexion des bouteilles) [20]</w:t>
            </w:r>
          </w:p>
        </w:tc>
        <w:tc>
          <w:tcPr>
            <w:tcW w:w="4925" w:type="dxa"/>
          </w:tcPr>
          <w:p w:rsidR="001C69C3" w:rsidRPr="00B42730" w:rsidRDefault="001C69C3" w:rsidP="001C69C3">
            <w:pPr>
              <w:rPr>
                <w:lang w:val="fr-FR"/>
              </w:rPr>
            </w:pPr>
          </w:p>
        </w:tc>
      </w:tr>
      <w:tr w:rsidR="001C69C3" w:rsidRPr="00B42730" w:rsidTr="001C69C3">
        <w:tc>
          <w:tcPr>
            <w:tcW w:w="8500" w:type="dxa"/>
          </w:tcPr>
          <w:p w:rsidR="001C69C3" w:rsidRPr="003C01BD" w:rsidRDefault="001C69C3" w:rsidP="00ED5950">
            <w:pPr>
              <w:pStyle w:val="toelichtingvraaginsprong1"/>
              <w:numPr>
                <w:ilvl w:val="1"/>
                <w:numId w:val="23"/>
              </w:numPr>
            </w:pPr>
            <w:r w:rsidRPr="003C01BD">
              <w:t>Aux endroits où le gaz peut s’accumuler (en tenant compte de la densité du gaz) [20]</w:t>
            </w:r>
          </w:p>
        </w:tc>
        <w:tc>
          <w:tcPr>
            <w:tcW w:w="4925" w:type="dxa"/>
          </w:tcPr>
          <w:p w:rsidR="001C69C3" w:rsidRPr="00B42730" w:rsidRDefault="001C69C3" w:rsidP="001C69C3">
            <w:pPr>
              <w:rPr>
                <w:lang w:val="fr-FR"/>
              </w:rPr>
            </w:pPr>
          </w:p>
        </w:tc>
      </w:tr>
      <w:tr w:rsidR="001C69C3" w:rsidRPr="003C01BD" w:rsidTr="001C69C3">
        <w:tc>
          <w:tcPr>
            <w:tcW w:w="8500" w:type="dxa"/>
          </w:tcPr>
          <w:p w:rsidR="001C69C3" w:rsidRPr="003C01BD" w:rsidRDefault="001C69C3" w:rsidP="00ED5950">
            <w:pPr>
              <w:pStyle w:val="Toelichtingvraag"/>
              <w:ind w:left="0"/>
            </w:pPr>
            <w:r w:rsidRPr="003C01BD">
              <w:t>Inspection et entretien</w:t>
            </w:r>
          </w:p>
        </w:tc>
        <w:tc>
          <w:tcPr>
            <w:tcW w:w="4925" w:type="dxa"/>
          </w:tcPr>
          <w:p w:rsidR="001C69C3" w:rsidRPr="003C01BD" w:rsidRDefault="001C69C3" w:rsidP="001C69C3"/>
        </w:tc>
      </w:tr>
      <w:tr w:rsidR="001C69C3" w:rsidRPr="00B42730" w:rsidTr="001C69C3">
        <w:tc>
          <w:tcPr>
            <w:tcW w:w="8500" w:type="dxa"/>
          </w:tcPr>
          <w:p w:rsidR="001C69C3" w:rsidRPr="003C01BD" w:rsidRDefault="001C69C3" w:rsidP="00ED5950">
            <w:pPr>
              <w:pStyle w:val="toelichtingvraaginsprong1"/>
              <w:rPr>
                <w:b/>
              </w:rPr>
            </w:pPr>
            <w:r w:rsidRPr="003C01BD">
              <w:lastRenderedPageBreak/>
              <w:t>Calibration périodique des têtes de mesure La périodicité est déterminée en tenant compte des prescriptions du fabriquant et des expériences des inspections, mais ne dépasse pas un an, conformément l’article III.3.22 du Code sur le bien-être au travail.</w:t>
            </w:r>
          </w:p>
        </w:tc>
        <w:tc>
          <w:tcPr>
            <w:tcW w:w="4925" w:type="dxa"/>
          </w:tcPr>
          <w:p w:rsidR="001C69C3" w:rsidRPr="00B42730" w:rsidRDefault="001C69C3" w:rsidP="001C69C3">
            <w:pPr>
              <w:rPr>
                <w:lang w:val="fr-FR"/>
              </w:rPr>
            </w:pPr>
          </w:p>
        </w:tc>
      </w:tr>
      <w:tr w:rsidR="001C69C3" w:rsidRPr="00B42730" w:rsidTr="001C69C3">
        <w:tc>
          <w:tcPr>
            <w:tcW w:w="8500" w:type="dxa"/>
          </w:tcPr>
          <w:p w:rsidR="001C69C3" w:rsidRPr="003C01BD" w:rsidRDefault="001C69C3" w:rsidP="00ED5950">
            <w:pPr>
              <w:pStyle w:val="toelichtingvraaginsprong1"/>
            </w:pPr>
            <w:r w:rsidRPr="003C01BD">
              <w:t>Test périodique des actions liées à la détection de gaz (fréquence indicative: annuel).</w:t>
            </w:r>
          </w:p>
        </w:tc>
        <w:tc>
          <w:tcPr>
            <w:tcW w:w="4925" w:type="dxa"/>
          </w:tcPr>
          <w:p w:rsidR="001C69C3" w:rsidRPr="00B42730" w:rsidRDefault="001C69C3" w:rsidP="001C69C3">
            <w:pPr>
              <w:rPr>
                <w:lang w:val="fr-FR"/>
              </w:rPr>
            </w:pPr>
          </w:p>
        </w:tc>
      </w:tr>
      <w:tr w:rsidR="001C69C3" w:rsidRPr="00B42730" w:rsidTr="001C69C3">
        <w:tc>
          <w:tcPr>
            <w:tcW w:w="8500" w:type="dxa"/>
          </w:tcPr>
          <w:p w:rsidR="001C69C3" w:rsidRPr="003C01BD" w:rsidRDefault="001C69C3" w:rsidP="00ED5950">
            <w:pPr>
              <w:pStyle w:val="Mesure"/>
            </w:pPr>
            <w:r w:rsidRPr="003C01BD">
              <w:t xml:space="preserve">Système d'isolement du remplissage des bouteilles </w:t>
            </w:r>
          </w:p>
        </w:tc>
        <w:tc>
          <w:tcPr>
            <w:tcW w:w="4925" w:type="dxa"/>
          </w:tcPr>
          <w:p w:rsidR="001C69C3" w:rsidRPr="00B42730" w:rsidRDefault="001C69C3" w:rsidP="001C69C3">
            <w:pPr>
              <w:rPr>
                <w:lang w:val="fr-FR"/>
              </w:rPr>
            </w:pPr>
          </w:p>
        </w:tc>
      </w:tr>
      <w:tr w:rsidR="001C69C3" w:rsidRPr="00B42730" w:rsidTr="001C69C3">
        <w:tc>
          <w:tcPr>
            <w:tcW w:w="8500" w:type="dxa"/>
          </w:tcPr>
          <w:p w:rsidR="001C69C3" w:rsidRPr="003C01BD" w:rsidRDefault="001C69C3" w:rsidP="00ED5950">
            <w:pPr>
              <w:pStyle w:val="Toelichtingvraag"/>
              <w:keepNext/>
              <w:ind w:left="0"/>
              <w:outlineLvl w:val="3"/>
              <w:rPr>
                <w:lang w:val="fr-BE"/>
              </w:rPr>
            </w:pPr>
            <w:r w:rsidRPr="003C01BD">
              <w:rPr>
                <w:lang w:val="fr-BE"/>
              </w:rPr>
              <w:t>Des vannes d'arrêt isolent la station de remplissage. La vanne à manoeuvrer est résistante au feu (fire safe) et est pourvue d’une indication de la position (ouvert/fermé).</w:t>
            </w:r>
          </w:p>
        </w:tc>
        <w:tc>
          <w:tcPr>
            <w:tcW w:w="4925" w:type="dxa"/>
          </w:tcPr>
          <w:p w:rsidR="001C69C3" w:rsidRPr="003C01BD" w:rsidRDefault="001C69C3" w:rsidP="001C69C3">
            <w:pPr>
              <w:rPr>
                <w:lang w:val="fr-BE"/>
              </w:rPr>
            </w:pPr>
          </w:p>
        </w:tc>
      </w:tr>
      <w:tr w:rsidR="001C69C3" w:rsidRPr="003C01BD" w:rsidTr="001C69C3">
        <w:tc>
          <w:tcPr>
            <w:tcW w:w="8500" w:type="dxa"/>
          </w:tcPr>
          <w:p w:rsidR="001C69C3" w:rsidRPr="003C01BD" w:rsidRDefault="001C69C3" w:rsidP="00ED5950">
            <w:pPr>
              <w:pStyle w:val="Toelichtingvraag"/>
              <w:ind w:left="0"/>
            </w:pPr>
            <w:r w:rsidRPr="003C01BD">
              <w:t>Activation</w:t>
            </w:r>
          </w:p>
        </w:tc>
        <w:tc>
          <w:tcPr>
            <w:tcW w:w="4925" w:type="dxa"/>
          </w:tcPr>
          <w:p w:rsidR="001C69C3" w:rsidRPr="003C01BD" w:rsidRDefault="001C69C3" w:rsidP="001C69C3"/>
        </w:tc>
      </w:tr>
      <w:tr w:rsidR="001C69C3" w:rsidRPr="003C01BD" w:rsidTr="001C69C3">
        <w:tc>
          <w:tcPr>
            <w:tcW w:w="8500" w:type="dxa"/>
          </w:tcPr>
          <w:p w:rsidR="001C69C3" w:rsidRPr="003C01BD" w:rsidRDefault="001C69C3" w:rsidP="00ED5950">
            <w:pPr>
              <w:pStyle w:val="toelichtingvraaginsprong1"/>
            </w:pPr>
            <w:r w:rsidRPr="003C01BD">
              <w:t>Par arrêt d'urgence.</w:t>
            </w:r>
          </w:p>
        </w:tc>
        <w:tc>
          <w:tcPr>
            <w:tcW w:w="4925" w:type="dxa"/>
          </w:tcPr>
          <w:p w:rsidR="001C69C3" w:rsidRPr="003C01BD" w:rsidRDefault="001C69C3" w:rsidP="001C69C3"/>
        </w:tc>
      </w:tr>
      <w:tr w:rsidR="001C69C3" w:rsidRPr="00B42730" w:rsidTr="001C69C3">
        <w:tc>
          <w:tcPr>
            <w:tcW w:w="8500" w:type="dxa"/>
          </w:tcPr>
          <w:p w:rsidR="001C69C3" w:rsidRPr="003C01BD" w:rsidRDefault="001C69C3" w:rsidP="00ED5950">
            <w:pPr>
              <w:pStyle w:val="toelichtingvraaginsprong1"/>
            </w:pPr>
            <w:r w:rsidRPr="003C01BD">
              <w:t>Par la détection de gaz.</w:t>
            </w:r>
          </w:p>
        </w:tc>
        <w:tc>
          <w:tcPr>
            <w:tcW w:w="4925" w:type="dxa"/>
          </w:tcPr>
          <w:p w:rsidR="001C69C3" w:rsidRPr="00B42730" w:rsidRDefault="001C69C3" w:rsidP="001C69C3">
            <w:pPr>
              <w:rPr>
                <w:lang w:val="fr-FR"/>
              </w:rPr>
            </w:pPr>
          </w:p>
        </w:tc>
      </w:tr>
      <w:tr w:rsidR="001C69C3" w:rsidRPr="003C01BD" w:rsidTr="001C69C3">
        <w:tc>
          <w:tcPr>
            <w:tcW w:w="8500" w:type="dxa"/>
          </w:tcPr>
          <w:p w:rsidR="001C69C3" w:rsidRPr="003C01BD" w:rsidRDefault="001C69C3" w:rsidP="00ED5950">
            <w:pPr>
              <w:pStyle w:val="toelichtingvraaginsprong1"/>
            </w:pPr>
            <w:r w:rsidRPr="003C01BD">
              <w:t>En cas d’incendie.</w:t>
            </w:r>
          </w:p>
        </w:tc>
        <w:tc>
          <w:tcPr>
            <w:tcW w:w="4925" w:type="dxa"/>
          </w:tcPr>
          <w:p w:rsidR="001C69C3" w:rsidRPr="003C01BD" w:rsidRDefault="001C69C3" w:rsidP="001C69C3"/>
        </w:tc>
      </w:tr>
      <w:tr w:rsidR="001C69C3" w:rsidRPr="00B42730" w:rsidTr="001C69C3">
        <w:tc>
          <w:tcPr>
            <w:tcW w:w="8500" w:type="dxa"/>
          </w:tcPr>
          <w:p w:rsidR="001C69C3" w:rsidRPr="003C01BD" w:rsidRDefault="001C69C3" w:rsidP="00ED5950">
            <w:pPr>
              <w:pStyle w:val="Mesure"/>
            </w:pPr>
            <w:r w:rsidRPr="003C01BD">
              <w:t>Arrêt d'urgence de l'installation de remplissage</w:t>
            </w:r>
          </w:p>
        </w:tc>
        <w:tc>
          <w:tcPr>
            <w:tcW w:w="4925" w:type="dxa"/>
          </w:tcPr>
          <w:p w:rsidR="001C69C3" w:rsidRPr="00B42730" w:rsidRDefault="001C69C3" w:rsidP="001C69C3">
            <w:pPr>
              <w:rPr>
                <w:lang w:val="fr-FR"/>
              </w:rPr>
            </w:pPr>
          </w:p>
        </w:tc>
      </w:tr>
      <w:tr w:rsidR="001C69C3" w:rsidRPr="003C01BD" w:rsidTr="001C69C3">
        <w:tc>
          <w:tcPr>
            <w:tcW w:w="8500" w:type="dxa"/>
          </w:tcPr>
          <w:p w:rsidR="001C69C3" w:rsidRPr="003C01BD" w:rsidRDefault="001C69C3" w:rsidP="00ED5950">
            <w:pPr>
              <w:pStyle w:val="Toelichtingvraag"/>
              <w:ind w:left="0"/>
              <w:rPr>
                <w:lang w:val="en-US"/>
              </w:rPr>
            </w:pPr>
            <w:r w:rsidRPr="003C01BD">
              <w:rPr>
                <w:lang w:val="en-US"/>
              </w:rPr>
              <w:t>Actions</w:t>
            </w:r>
          </w:p>
        </w:tc>
        <w:tc>
          <w:tcPr>
            <w:tcW w:w="4925" w:type="dxa"/>
          </w:tcPr>
          <w:p w:rsidR="001C69C3" w:rsidRPr="003C01BD" w:rsidRDefault="001C69C3" w:rsidP="001C69C3">
            <w:pPr>
              <w:rPr>
                <w:lang w:val="en-US"/>
              </w:rPr>
            </w:pPr>
          </w:p>
        </w:tc>
      </w:tr>
      <w:tr w:rsidR="001C69C3" w:rsidRPr="00B42730" w:rsidTr="001C69C3">
        <w:tc>
          <w:tcPr>
            <w:tcW w:w="8500" w:type="dxa"/>
          </w:tcPr>
          <w:p w:rsidR="001C69C3" w:rsidRPr="003C01BD" w:rsidRDefault="001C69C3" w:rsidP="00ED5950">
            <w:pPr>
              <w:pStyle w:val="toelichtingvraaginsprong1"/>
              <w:rPr>
                <w:b/>
                <w:bCs/>
              </w:rPr>
            </w:pPr>
            <w:r w:rsidRPr="003C01BD">
              <w:t>Fermeture automatique des vannes commandées à distance.</w:t>
            </w:r>
          </w:p>
        </w:tc>
        <w:tc>
          <w:tcPr>
            <w:tcW w:w="4925" w:type="dxa"/>
          </w:tcPr>
          <w:p w:rsidR="001C69C3" w:rsidRPr="00B42730" w:rsidRDefault="001C69C3" w:rsidP="001C69C3">
            <w:pPr>
              <w:rPr>
                <w:lang w:val="fr-FR"/>
              </w:rPr>
            </w:pPr>
          </w:p>
        </w:tc>
      </w:tr>
      <w:tr w:rsidR="001C69C3" w:rsidRPr="003C01BD" w:rsidTr="001C69C3">
        <w:tc>
          <w:tcPr>
            <w:tcW w:w="8500" w:type="dxa"/>
          </w:tcPr>
          <w:p w:rsidR="001C69C3" w:rsidRPr="003C01BD" w:rsidRDefault="001C69C3" w:rsidP="00ED5950">
            <w:pPr>
              <w:pStyle w:val="toelichtingvraaginsprong1"/>
              <w:rPr>
                <w:b/>
                <w:bCs/>
              </w:rPr>
            </w:pPr>
            <w:r w:rsidRPr="003C01BD">
              <w:t>Arrêt automatique.</w:t>
            </w:r>
          </w:p>
        </w:tc>
        <w:tc>
          <w:tcPr>
            <w:tcW w:w="4925" w:type="dxa"/>
          </w:tcPr>
          <w:p w:rsidR="001C69C3" w:rsidRPr="003C01BD" w:rsidRDefault="001C69C3" w:rsidP="001C69C3"/>
        </w:tc>
      </w:tr>
      <w:tr w:rsidR="001C69C3" w:rsidRPr="003C01BD" w:rsidTr="001C69C3">
        <w:tc>
          <w:tcPr>
            <w:tcW w:w="8500" w:type="dxa"/>
          </w:tcPr>
          <w:p w:rsidR="001C69C3" w:rsidRPr="003C01BD" w:rsidRDefault="001C69C3" w:rsidP="00ED5950">
            <w:pPr>
              <w:pStyle w:val="toelichtingvraaginsprong1"/>
              <w:rPr>
                <w:b/>
                <w:bCs/>
              </w:rPr>
            </w:pPr>
            <w:r w:rsidRPr="003C01BD">
              <w:t>Déclenchement d'une alarme.</w:t>
            </w:r>
          </w:p>
        </w:tc>
        <w:tc>
          <w:tcPr>
            <w:tcW w:w="4925" w:type="dxa"/>
          </w:tcPr>
          <w:p w:rsidR="001C69C3" w:rsidRPr="003C01BD" w:rsidRDefault="001C69C3" w:rsidP="001C69C3"/>
        </w:tc>
      </w:tr>
      <w:tr w:rsidR="001C69C3" w:rsidRPr="003C01BD" w:rsidTr="001C69C3">
        <w:tc>
          <w:tcPr>
            <w:tcW w:w="8500" w:type="dxa"/>
          </w:tcPr>
          <w:p w:rsidR="001C69C3" w:rsidRPr="003C01BD" w:rsidRDefault="001C69C3" w:rsidP="00ED5950">
            <w:pPr>
              <w:pStyle w:val="Toelichtingvraag"/>
              <w:ind w:left="0"/>
              <w:rPr>
                <w:lang w:val="fr-BE"/>
              </w:rPr>
            </w:pPr>
            <w:r w:rsidRPr="003C01BD">
              <w:rPr>
                <w:lang w:val="fr-BE"/>
              </w:rPr>
              <w:t>Emplacement</w:t>
            </w:r>
          </w:p>
        </w:tc>
        <w:tc>
          <w:tcPr>
            <w:tcW w:w="4925" w:type="dxa"/>
          </w:tcPr>
          <w:p w:rsidR="001C69C3" w:rsidRPr="003C01BD" w:rsidRDefault="001C69C3" w:rsidP="001C69C3">
            <w:pPr>
              <w:rPr>
                <w:lang w:val="fr-BE"/>
              </w:rPr>
            </w:pPr>
          </w:p>
        </w:tc>
      </w:tr>
      <w:tr w:rsidR="001C69C3" w:rsidRPr="00B42730" w:rsidTr="001C69C3">
        <w:tc>
          <w:tcPr>
            <w:tcW w:w="8500" w:type="dxa"/>
          </w:tcPr>
          <w:p w:rsidR="001C69C3" w:rsidRPr="003C01BD" w:rsidRDefault="001C69C3" w:rsidP="00ED5950">
            <w:pPr>
              <w:pStyle w:val="toelichtingvraaginsprong1"/>
            </w:pPr>
            <w:r w:rsidRPr="003C01BD">
              <w:t>Boutons-poussoirs situés sur les voies d'évacuation.</w:t>
            </w:r>
          </w:p>
        </w:tc>
        <w:tc>
          <w:tcPr>
            <w:tcW w:w="4925" w:type="dxa"/>
          </w:tcPr>
          <w:p w:rsidR="001C69C3" w:rsidRPr="00B42730" w:rsidRDefault="001C69C3" w:rsidP="001C69C3">
            <w:pPr>
              <w:rPr>
                <w:lang w:val="fr-FR"/>
              </w:rPr>
            </w:pPr>
          </w:p>
        </w:tc>
      </w:tr>
      <w:tr w:rsidR="001C69C3" w:rsidRPr="003C01BD" w:rsidTr="001C69C3">
        <w:tc>
          <w:tcPr>
            <w:tcW w:w="8500" w:type="dxa"/>
          </w:tcPr>
          <w:p w:rsidR="001C69C3" w:rsidRPr="003C01BD" w:rsidRDefault="001C69C3" w:rsidP="00ED5950">
            <w:pPr>
              <w:pStyle w:val="toelichtingvraaginsprong1"/>
            </w:pPr>
            <w:r w:rsidRPr="003C01BD">
              <w:t>D'accès aisé.</w:t>
            </w:r>
          </w:p>
        </w:tc>
        <w:tc>
          <w:tcPr>
            <w:tcW w:w="4925" w:type="dxa"/>
          </w:tcPr>
          <w:p w:rsidR="001C69C3" w:rsidRPr="003C01BD" w:rsidRDefault="001C69C3" w:rsidP="001C69C3"/>
        </w:tc>
      </w:tr>
    </w:tbl>
    <w:p w:rsidR="002E3CDB" w:rsidRDefault="002E3CDB" w:rsidP="002E3CDB">
      <w:bookmarkStart w:id="92" w:name="_Toc424747685"/>
    </w:p>
    <w:p w:rsidR="002E3CDB" w:rsidRDefault="002E3CDB" w:rsidP="002151E9">
      <w:r>
        <w:lastRenderedPageBreak/>
        <w:br w:type="page"/>
      </w:r>
    </w:p>
    <w:p w:rsidR="00BB1139" w:rsidRDefault="00BB1139" w:rsidP="002151E9">
      <w:pPr>
        <w:rPr>
          <w:lang w:val="fr-BE"/>
        </w:rPr>
      </w:pPr>
    </w:p>
    <w:p w:rsidR="009C07DA" w:rsidRPr="0052522C" w:rsidRDefault="009C07DA" w:rsidP="00A70AF4">
      <w:pPr>
        <w:pStyle w:val="Kop2"/>
      </w:pPr>
      <w:bookmarkStart w:id="93" w:name="_Toc496177885"/>
      <w:r w:rsidRPr="0052522C">
        <w:t>Ma</w:t>
      </w:r>
      <w:r w:rsidR="00EF58CC">
        <w:t>î</w:t>
      </w:r>
      <w:r w:rsidRPr="0052522C">
        <w:t>trise de la dispersion de substances libérées</w:t>
      </w:r>
      <w:bookmarkEnd w:id="92"/>
      <w:bookmarkEnd w:id="93"/>
    </w:p>
    <w:p w:rsidR="009C07DA" w:rsidRPr="0052522C" w:rsidRDefault="009C07DA">
      <w:pPr>
        <w:rPr>
          <w:lang w:val="fr-BE"/>
        </w:rPr>
      </w:pPr>
    </w:p>
    <w:tbl>
      <w:tblPr>
        <w:tblStyle w:val="Tabelraster"/>
        <w:tblW w:w="0" w:type="auto"/>
        <w:tblInd w:w="567" w:type="dxa"/>
        <w:tblLook w:val="04A0" w:firstRow="1" w:lastRow="0" w:firstColumn="1" w:lastColumn="0" w:noHBand="0" w:noVBand="1"/>
      </w:tblPr>
      <w:tblGrid>
        <w:gridCol w:w="8359"/>
        <w:gridCol w:w="5066"/>
      </w:tblGrid>
      <w:tr w:rsidR="00A4287A" w:rsidRPr="00B42730" w:rsidTr="00A4287A">
        <w:tc>
          <w:tcPr>
            <w:tcW w:w="8359" w:type="dxa"/>
          </w:tcPr>
          <w:p w:rsidR="00A4287A" w:rsidRPr="00A4287A" w:rsidRDefault="00A4287A" w:rsidP="000125DE">
            <w:pPr>
              <w:pStyle w:val="Mesure"/>
            </w:pPr>
            <w:r w:rsidRPr="00A4287A">
              <w:t>Bâtiment au-dessus du niveau du sol pour la station de remplissage</w:t>
            </w:r>
          </w:p>
        </w:tc>
        <w:tc>
          <w:tcPr>
            <w:tcW w:w="5066" w:type="dxa"/>
          </w:tcPr>
          <w:p w:rsidR="00A4287A" w:rsidRPr="00A4287A" w:rsidRDefault="00A4287A" w:rsidP="00A4287A">
            <w:pPr>
              <w:rPr>
                <w:lang w:val="fr-BE"/>
              </w:rPr>
            </w:pPr>
          </w:p>
        </w:tc>
      </w:tr>
      <w:tr w:rsidR="00A4287A" w:rsidRPr="00B42730" w:rsidTr="00A4287A">
        <w:tc>
          <w:tcPr>
            <w:tcW w:w="8359" w:type="dxa"/>
          </w:tcPr>
          <w:p w:rsidR="00A4287A" w:rsidRPr="00A4287A" w:rsidRDefault="00A4287A" w:rsidP="000125DE">
            <w:pPr>
              <w:pStyle w:val="Mesure"/>
            </w:pPr>
            <w:r w:rsidRPr="00A4287A">
              <w:t>Ventilation générale du bâtiment conformément au document relatif à la protection contre les explosions</w:t>
            </w:r>
          </w:p>
        </w:tc>
        <w:tc>
          <w:tcPr>
            <w:tcW w:w="5066" w:type="dxa"/>
          </w:tcPr>
          <w:p w:rsidR="00A4287A" w:rsidRPr="00B42730" w:rsidRDefault="00A4287A" w:rsidP="00A4287A">
            <w:pPr>
              <w:rPr>
                <w:lang w:val="fr-FR"/>
              </w:rPr>
            </w:pPr>
          </w:p>
        </w:tc>
      </w:tr>
      <w:tr w:rsidR="00A4287A" w:rsidRPr="00B42730" w:rsidTr="00A4287A">
        <w:tc>
          <w:tcPr>
            <w:tcW w:w="8359" w:type="dxa"/>
          </w:tcPr>
          <w:p w:rsidR="00A4287A" w:rsidRPr="00A4287A" w:rsidRDefault="00A4287A" w:rsidP="000125DE">
            <w:pPr>
              <w:pStyle w:val="Mesure"/>
            </w:pPr>
            <w:r w:rsidRPr="00A4287A">
              <w:t xml:space="preserve">Aspiration locale aux stations de remplissage conformément au document relatif à la protection contre les explosions </w:t>
            </w:r>
          </w:p>
        </w:tc>
        <w:tc>
          <w:tcPr>
            <w:tcW w:w="5066" w:type="dxa"/>
          </w:tcPr>
          <w:p w:rsidR="00A4287A" w:rsidRPr="00B42730" w:rsidRDefault="00A4287A" w:rsidP="00A4287A">
            <w:pPr>
              <w:rPr>
                <w:lang w:val="fr-FR"/>
              </w:rPr>
            </w:pPr>
          </w:p>
        </w:tc>
      </w:tr>
      <w:tr w:rsidR="00A4287A" w:rsidRPr="00B42730" w:rsidTr="00A4287A">
        <w:tc>
          <w:tcPr>
            <w:tcW w:w="8359" w:type="dxa"/>
          </w:tcPr>
          <w:p w:rsidR="00A4287A" w:rsidRPr="00A4287A" w:rsidRDefault="00A4287A" w:rsidP="000125DE">
            <w:pPr>
              <w:pStyle w:val="Maatregel"/>
              <w:numPr>
                <w:ilvl w:val="0"/>
                <w:numId w:val="2"/>
              </w:numPr>
              <w:tabs>
                <w:tab w:val="clear" w:pos="3686"/>
                <w:tab w:val="num" w:pos="567"/>
              </w:tabs>
              <w:ind w:left="567"/>
              <w:rPr>
                <w:lang w:val="fr-BE"/>
              </w:rPr>
            </w:pPr>
            <w:r w:rsidRPr="00A4287A">
              <w:rPr>
                <w:lang w:val="fr-BE"/>
              </w:rPr>
              <w:t xml:space="preserve">Stockage de bouteilles de gaz à l’air libre ou dans un bâtiment avec une ventilation conformément au document relatif à la protection contre les explosions </w:t>
            </w:r>
          </w:p>
        </w:tc>
        <w:tc>
          <w:tcPr>
            <w:tcW w:w="5066" w:type="dxa"/>
          </w:tcPr>
          <w:p w:rsidR="00A4287A" w:rsidRPr="00A4287A" w:rsidRDefault="00A4287A" w:rsidP="00A4287A">
            <w:pPr>
              <w:rPr>
                <w:lang w:val="fr-BE"/>
              </w:rPr>
            </w:pPr>
          </w:p>
        </w:tc>
      </w:tr>
      <w:tr w:rsidR="00A4287A" w:rsidRPr="00A4287A" w:rsidTr="00A4287A">
        <w:tc>
          <w:tcPr>
            <w:tcW w:w="8359" w:type="dxa"/>
          </w:tcPr>
          <w:p w:rsidR="00A4287A" w:rsidRPr="00A4287A" w:rsidRDefault="00A4287A" w:rsidP="000125DE">
            <w:pPr>
              <w:pStyle w:val="Toelichtingvraag"/>
              <w:ind w:left="0"/>
            </w:pPr>
            <w:r w:rsidRPr="00A4287A">
              <w:rPr>
                <w:lang w:val="fr-BE"/>
              </w:rPr>
              <w:t xml:space="preserve">Le stockage de bouteilles de gaz a lieu de préférence à l’air libre. Dans le cas d’une explosion dans un bâtiment, des ondes de pression plus élevées qu’à l’air libre seront générées. </w:t>
            </w:r>
            <w:r w:rsidRPr="00A4287A">
              <w:t>[29]</w:t>
            </w:r>
          </w:p>
        </w:tc>
        <w:tc>
          <w:tcPr>
            <w:tcW w:w="5066" w:type="dxa"/>
          </w:tcPr>
          <w:p w:rsidR="00A4287A" w:rsidRPr="00A4287A" w:rsidRDefault="00A4287A" w:rsidP="00A4287A">
            <w:pPr>
              <w:rPr>
                <w:lang w:val="fr-BE"/>
              </w:rPr>
            </w:pPr>
          </w:p>
        </w:tc>
      </w:tr>
    </w:tbl>
    <w:p w:rsidR="002E3CDB" w:rsidRDefault="002E3CDB" w:rsidP="002151E9">
      <w:pPr>
        <w:rPr>
          <w:lang w:val="fr-BE"/>
        </w:rPr>
      </w:pPr>
      <w:bookmarkStart w:id="94" w:name="_Toc424747686"/>
    </w:p>
    <w:p w:rsidR="009C07DA" w:rsidRPr="0052522C" w:rsidRDefault="009C07DA" w:rsidP="00A70AF4">
      <w:pPr>
        <w:pStyle w:val="Kop2"/>
      </w:pPr>
      <w:bookmarkStart w:id="95" w:name="_Toc496177886"/>
      <w:r w:rsidRPr="0052522C">
        <w:t xml:space="preserve">Eviter des sources </w:t>
      </w:r>
      <w:bookmarkEnd w:id="94"/>
      <w:r w:rsidR="00E91958">
        <w:t>d’inflammation</w:t>
      </w:r>
      <w:bookmarkEnd w:id="95"/>
    </w:p>
    <w:tbl>
      <w:tblPr>
        <w:tblStyle w:val="Tabelraster"/>
        <w:tblW w:w="0" w:type="auto"/>
        <w:tblInd w:w="567" w:type="dxa"/>
        <w:tblLook w:val="04A0" w:firstRow="1" w:lastRow="0" w:firstColumn="1" w:lastColumn="0" w:noHBand="0" w:noVBand="1"/>
      </w:tblPr>
      <w:tblGrid>
        <w:gridCol w:w="8359"/>
        <w:gridCol w:w="5066"/>
      </w:tblGrid>
      <w:tr w:rsidR="001A5ED3" w:rsidRPr="001A5ED3" w:rsidTr="001A5ED3">
        <w:tc>
          <w:tcPr>
            <w:tcW w:w="8359" w:type="dxa"/>
          </w:tcPr>
          <w:p w:rsidR="001A5ED3" w:rsidRPr="001A5ED3" w:rsidRDefault="001A5ED3" w:rsidP="00B664C1">
            <w:pPr>
              <w:pStyle w:val="Maatregel"/>
              <w:numPr>
                <w:ilvl w:val="0"/>
                <w:numId w:val="2"/>
              </w:numPr>
              <w:tabs>
                <w:tab w:val="clear" w:pos="3686"/>
                <w:tab w:val="num" w:pos="567"/>
              </w:tabs>
              <w:ind w:left="567"/>
              <w:rPr>
                <w:lang w:val="fr-BE"/>
              </w:rPr>
            </w:pPr>
            <w:r w:rsidRPr="001A5ED3">
              <w:rPr>
                <w:lang w:val="fr-BE"/>
              </w:rPr>
              <w:t>Vêtements et chaussures antistatiques</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Toelichtingvraag"/>
              <w:ind w:left="0"/>
              <w:rPr>
                <w:lang w:val="fr-BE"/>
              </w:rPr>
            </w:pPr>
            <w:r w:rsidRPr="001A5ED3">
              <w:rPr>
                <w:lang w:val="fr-BE"/>
              </w:rPr>
              <w:t>Le port de chaussures et de vêtements antistatiques est obligatoire pour le personnel propre et les tiers présents à proximité de l’installation de remplissage.</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Mesure"/>
            </w:pPr>
            <w:r w:rsidRPr="001A5ED3">
              <w:t>Revêtement de sol suffisamment conducteur</w:t>
            </w:r>
          </w:p>
        </w:tc>
        <w:tc>
          <w:tcPr>
            <w:tcW w:w="5066" w:type="dxa"/>
          </w:tcPr>
          <w:p w:rsidR="001A5ED3" w:rsidRPr="00B42730" w:rsidRDefault="001A5ED3" w:rsidP="001A5ED3">
            <w:pPr>
              <w:rPr>
                <w:lang w:val="fr-FR"/>
              </w:rPr>
            </w:pPr>
          </w:p>
        </w:tc>
      </w:tr>
      <w:tr w:rsidR="001A5ED3" w:rsidRPr="00B42730" w:rsidTr="001A5ED3">
        <w:tc>
          <w:tcPr>
            <w:tcW w:w="8359" w:type="dxa"/>
          </w:tcPr>
          <w:p w:rsidR="001A5ED3" w:rsidRPr="001A5ED3" w:rsidRDefault="001A5ED3" w:rsidP="00B664C1">
            <w:pPr>
              <w:pStyle w:val="Toelichtingvraag"/>
              <w:ind w:left="0"/>
              <w:rPr>
                <w:lang w:val="fr-BE"/>
              </w:rPr>
            </w:pPr>
            <w:r w:rsidRPr="001A5ED3">
              <w:rPr>
                <w:lang w:val="fr-BE"/>
              </w:rPr>
              <w:lastRenderedPageBreak/>
              <w:t>Par ex. le béton non traité est suffisamment conducteur tandis que par ex. l’asphalte et les résines époxy sont insuffisamment conducteurs.</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Mesure"/>
            </w:pPr>
            <w:r w:rsidRPr="001A5ED3">
              <w:t>Mise à la terre du récipient à remplir</w:t>
            </w:r>
          </w:p>
        </w:tc>
        <w:tc>
          <w:tcPr>
            <w:tcW w:w="5066" w:type="dxa"/>
          </w:tcPr>
          <w:p w:rsidR="001A5ED3" w:rsidRPr="00B42730" w:rsidRDefault="001A5ED3" w:rsidP="001A5ED3">
            <w:pPr>
              <w:rPr>
                <w:lang w:val="fr-FR"/>
              </w:rPr>
            </w:pPr>
          </w:p>
        </w:tc>
      </w:tr>
      <w:tr w:rsidR="001A5ED3" w:rsidRPr="00B42730" w:rsidTr="001A5ED3">
        <w:tc>
          <w:tcPr>
            <w:tcW w:w="8359" w:type="dxa"/>
          </w:tcPr>
          <w:p w:rsidR="001A5ED3" w:rsidRPr="001A5ED3" w:rsidRDefault="001A5ED3" w:rsidP="00B664C1">
            <w:pPr>
              <w:pStyle w:val="Toelichtingvraag"/>
              <w:ind w:left="0"/>
              <w:rPr>
                <w:lang w:val="fr-BE"/>
              </w:rPr>
            </w:pPr>
            <w:r w:rsidRPr="001A5ED3">
              <w:rPr>
                <w:lang w:val="fr-BE"/>
              </w:rPr>
              <w:t>Le récipient est mis à la terre avant le début du remplissage. Ceci est repris dans la procédure de remplissage de fûts.</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Mesure"/>
            </w:pPr>
            <w:r w:rsidRPr="001A5ED3">
              <w:t>Installation électrique en exécution anti-explosion</w:t>
            </w:r>
          </w:p>
        </w:tc>
        <w:tc>
          <w:tcPr>
            <w:tcW w:w="5066" w:type="dxa"/>
          </w:tcPr>
          <w:p w:rsidR="001A5ED3" w:rsidRPr="00B42730" w:rsidRDefault="001A5ED3" w:rsidP="001A5ED3">
            <w:pPr>
              <w:rPr>
                <w:lang w:val="fr-FR"/>
              </w:rPr>
            </w:pPr>
          </w:p>
        </w:tc>
      </w:tr>
      <w:tr w:rsidR="001A5ED3" w:rsidRPr="00B42730" w:rsidTr="001A5ED3">
        <w:tc>
          <w:tcPr>
            <w:tcW w:w="8359" w:type="dxa"/>
          </w:tcPr>
          <w:p w:rsidR="001A5ED3" w:rsidRPr="001A5ED3" w:rsidRDefault="001A5ED3" w:rsidP="00B664C1">
            <w:pPr>
              <w:pStyle w:val="Toelichtingvraag"/>
              <w:ind w:left="0"/>
              <w:rPr>
                <w:lang w:val="fr-BE"/>
              </w:rPr>
            </w:pPr>
            <w:r w:rsidRPr="001A5ED3">
              <w:rPr>
                <w:lang w:val="fr-BE"/>
              </w:rPr>
              <w:t>Plan de zonage pour le sous-système concerné</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toelichtingvraaginsprong1"/>
            </w:pPr>
            <w:r w:rsidRPr="001A5ED3">
              <w:t>Le plan est approuvé par un Service Externe pour les Contrôles Techniques (SECT) et décrit la situation actuelle des installations.</w:t>
            </w:r>
          </w:p>
        </w:tc>
        <w:tc>
          <w:tcPr>
            <w:tcW w:w="5066" w:type="dxa"/>
          </w:tcPr>
          <w:p w:rsidR="001A5ED3" w:rsidRPr="00B42730" w:rsidRDefault="001A5ED3" w:rsidP="001A5ED3">
            <w:pPr>
              <w:rPr>
                <w:lang w:val="fr-FR"/>
              </w:rPr>
            </w:pPr>
          </w:p>
        </w:tc>
      </w:tr>
      <w:tr w:rsidR="001A5ED3" w:rsidRPr="001A5ED3" w:rsidTr="001A5ED3">
        <w:tc>
          <w:tcPr>
            <w:tcW w:w="8359" w:type="dxa"/>
          </w:tcPr>
          <w:p w:rsidR="001A5ED3" w:rsidRPr="001A5ED3" w:rsidRDefault="001A5ED3" w:rsidP="00B664C1">
            <w:pPr>
              <w:pStyle w:val="Toelichtingvraag"/>
              <w:ind w:left="0"/>
            </w:pPr>
            <w:r w:rsidRPr="001A5ED3">
              <w:t>Inspection</w:t>
            </w:r>
          </w:p>
        </w:tc>
        <w:tc>
          <w:tcPr>
            <w:tcW w:w="5066" w:type="dxa"/>
          </w:tcPr>
          <w:p w:rsidR="001A5ED3" w:rsidRPr="001A5ED3" w:rsidRDefault="001A5ED3" w:rsidP="001A5ED3"/>
        </w:tc>
      </w:tr>
      <w:tr w:rsidR="001A5ED3" w:rsidRPr="00B42730" w:rsidTr="001A5ED3">
        <w:tc>
          <w:tcPr>
            <w:tcW w:w="8359" w:type="dxa"/>
          </w:tcPr>
          <w:p w:rsidR="001A5ED3" w:rsidRPr="001A5ED3" w:rsidRDefault="001A5ED3" w:rsidP="00B664C1">
            <w:pPr>
              <w:pStyle w:val="Toelichtingvraag"/>
              <w:numPr>
                <w:ilvl w:val="0"/>
                <w:numId w:val="15"/>
              </w:numPr>
              <w:ind w:left="1843" w:hanging="425"/>
              <w:rPr>
                <w:b/>
                <w:bCs/>
                <w:lang w:val="fr-BE"/>
              </w:rPr>
            </w:pPr>
            <w:r w:rsidRPr="001A5ED3">
              <w:rPr>
                <w:lang w:val="fr-BE"/>
              </w:rPr>
              <w:t>Basse tension: tous les 5 ans sauf spécification contraire mentionnée dans le dernier rapport de contrôle périodique.</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Toelichtingvraag"/>
              <w:numPr>
                <w:ilvl w:val="0"/>
                <w:numId w:val="14"/>
              </w:numPr>
              <w:ind w:left="1843" w:hanging="425"/>
              <w:rPr>
                <w:b/>
                <w:bCs/>
                <w:lang w:val="fr-BE"/>
              </w:rPr>
            </w:pPr>
            <w:r w:rsidRPr="001A5ED3">
              <w:rPr>
                <w:lang w:val="fr-BE"/>
              </w:rPr>
              <w:t>Le rapport de contrôle ne mentionne aucune infraction.</w:t>
            </w:r>
          </w:p>
        </w:tc>
        <w:tc>
          <w:tcPr>
            <w:tcW w:w="5066" w:type="dxa"/>
          </w:tcPr>
          <w:p w:rsidR="001A5ED3" w:rsidRPr="001A5ED3" w:rsidRDefault="001A5ED3" w:rsidP="001A5ED3">
            <w:pPr>
              <w:rPr>
                <w:lang w:val="fr-BE"/>
              </w:rPr>
            </w:pPr>
          </w:p>
        </w:tc>
      </w:tr>
      <w:tr w:rsidR="001A5ED3" w:rsidRPr="00B42730" w:rsidTr="001A5ED3">
        <w:tc>
          <w:tcPr>
            <w:tcW w:w="8359" w:type="dxa"/>
          </w:tcPr>
          <w:p w:rsidR="001A5ED3" w:rsidRPr="001A5ED3" w:rsidRDefault="001A5ED3" w:rsidP="00B664C1">
            <w:pPr>
              <w:pStyle w:val="Toelichtingvraag"/>
              <w:numPr>
                <w:ilvl w:val="0"/>
                <w:numId w:val="14"/>
              </w:numPr>
              <w:ind w:left="1843" w:hanging="425"/>
              <w:rPr>
                <w:lang w:val="fr-BE"/>
              </w:rPr>
            </w:pPr>
            <w:r w:rsidRPr="001A5ED3">
              <w:rPr>
                <w:lang w:val="fr-BE"/>
              </w:rPr>
              <w:t>L’installation est conforme à l’art. 16 de l’AR’68</w:t>
            </w:r>
          </w:p>
        </w:tc>
        <w:tc>
          <w:tcPr>
            <w:tcW w:w="5066" w:type="dxa"/>
          </w:tcPr>
          <w:p w:rsidR="001A5ED3" w:rsidRPr="001A5ED3" w:rsidRDefault="001A5ED3" w:rsidP="001A5ED3">
            <w:pPr>
              <w:rPr>
                <w:lang w:val="fr-BE"/>
              </w:rPr>
            </w:pPr>
          </w:p>
        </w:tc>
      </w:tr>
    </w:tbl>
    <w:p w:rsidR="009C07DA" w:rsidRPr="0052522C" w:rsidRDefault="009C07DA">
      <w:pPr>
        <w:jc w:val="left"/>
        <w:rPr>
          <w:lang w:val="fr-BE"/>
        </w:rPr>
      </w:pPr>
      <w:bookmarkStart w:id="96" w:name="_Toc353971615"/>
      <w:bookmarkStart w:id="97" w:name="_Toc353971616"/>
      <w:bookmarkStart w:id="98" w:name="_Toc353971617"/>
      <w:bookmarkStart w:id="99" w:name="_Toc353971619"/>
      <w:bookmarkStart w:id="100" w:name="_Toc353971620"/>
      <w:bookmarkStart w:id="101" w:name="_Toc353971621"/>
      <w:bookmarkEnd w:id="96"/>
      <w:bookmarkEnd w:id="97"/>
      <w:bookmarkEnd w:id="98"/>
      <w:bookmarkEnd w:id="99"/>
      <w:bookmarkEnd w:id="100"/>
      <w:bookmarkEnd w:id="101"/>
    </w:p>
    <w:p w:rsidR="002E3CDB" w:rsidRDefault="002E3CDB">
      <w:pPr>
        <w:jc w:val="left"/>
        <w:rPr>
          <w:lang w:val="fr-BE"/>
        </w:rPr>
      </w:pPr>
      <w:r w:rsidRPr="00C05350">
        <w:rPr>
          <w:lang w:val="fr-BE"/>
        </w:rPr>
        <w:br w:type="page"/>
      </w:r>
    </w:p>
    <w:p w:rsidR="00BB1139" w:rsidRDefault="00BB1139" w:rsidP="00BB1139">
      <w:pPr>
        <w:rPr>
          <w:lang w:val="fr-BE"/>
        </w:rPr>
      </w:pPr>
    </w:p>
    <w:p w:rsidR="009C07DA" w:rsidRPr="0052522C" w:rsidRDefault="003003AF" w:rsidP="00A70AF4">
      <w:pPr>
        <w:pStyle w:val="Kop2"/>
      </w:pPr>
      <w:bookmarkStart w:id="102" w:name="_Toc496177887"/>
      <w:r w:rsidRPr="0052522C">
        <w:t>Limitation des dommages dus à l’incendie</w:t>
      </w:r>
      <w:bookmarkEnd w:id="102"/>
    </w:p>
    <w:tbl>
      <w:tblPr>
        <w:tblStyle w:val="Tabelraster"/>
        <w:tblW w:w="0" w:type="auto"/>
        <w:tblInd w:w="567" w:type="dxa"/>
        <w:tblLook w:val="04A0" w:firstRow="1" w:lastRow="0" w:firstColumn="1" w:lastColumn="0" w:noHBand="0" w:noVBand="1"/>
      </w:tblPr>
      <w:tblGrid>
        <w:gridCol w:w="8500"/>
        <w:gridCol w:w="4925"/>
      </w:tblGrid>
      <w:tr w:rsidR="00C60275" w:rsidRPr="00B42730" w:rsidTr="00C60275">
        <w:tc>
          <w:tcPr>
            <w:tcW w:w="8500" w:type="dxa"/>
          </w:tcPr>
          <w:p w:rsidR="00C60275" w:rsidRPr="00C60275" w:rsidRDefault="00C60275" w:rsidP="009A5BAE">
            <w:pPr>
              <w:pStyle w:val="Maatregel"/>
              <w:numPr>
                <w:ilvl w:val="0"/>
                <w:numId w:val="2"/>
              </w:numPr>
              <w:tabs>
                <w:tab w:val="clear" w:pos="3686"/>
                <w:tab w:val="num" w:pos="567"/>
              </w:tabs>
              <w:ind w:left="567"/>
              <w:rPr>
                <w:lang w:val="fr-BE"/>
              </w:rPr>
            </w:pPr>
            <w:r w:rsidRPr="00C60275">
              <w:rPr>
                <w:lang w:val="fr-BE"/>
              </w:rPr>
              <w:t>Distances de sécurité par rapport au stockage de bouteilles</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
              <w:ind w:left="0"/>
              <w:rPr>
                <w:lang w:val="fr-BE"/>
              </w:rPr>
            </w:pPr>
            <w:r w:rsidRPr="00C60275">
              <w:rPr>
                <w:lang w:val="fr-BE"/>
              </w:rPr>
              <w:t>Dans le standard NFPA 55 ‘Compressed Gases and Cryogenic Fluids Code’, les distances de sécurité suivantes sont recommandées:</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insprong1"/>
              <w:numPr>
                <w:ilvl w:val="1"/>
                <w:numId w:val="23"/>
              </w:numPr>
            </w:pPr>
            <w:r w:rsidRPr="00C60275">
              <w:t>entre bouteilles avec des gaz inflammables liquéfiés et bouteilles avec des gaz oxydants, pyrophores et toxiques: 6,1 mètres</w:t>
            </w:r>
          </w:p>
        </w:tc>
        <w:tc>
          <w:tcPr>
            <w:tcW w:w="4925" w:type="dxa"/>
          </w:tcPr>
          <w:p w:rsidR="00C60275" w:rsidRPr="00C60275" w:rsidRDefault="00C60275" w:rsidP="00C60275">
            <w:pPr>
              <w:rPr>
                <w:lang w:val="fr-FR"/>
              </w:rPr>
            </w:pPr>
          </w:p>
        </w:tc>
      </w:tr>
      <w:tr w:rsidR="00C60275" w:rsidRPr="00B42730" w:rsidTr="00C60275">
        <w:tc>
          <w:tcPr>
            <w:tcW w:w="8500" w:type="dxa"/>
          </w:tcPr>
          <w:p w:rsidR="00C60275" w:rsidRPr="00C60275" w:rsidRDefault="00C60275" w:rsidP="009A5BAE">
            <w:pPr>
              <w:pStyle w:val="toelichtingvraaginsprong1"/>
              <w:numPr>
                <w:ilvl w:val="1"/>
                <w:numId w:val="23"/>
              </w:numPr>
            </w:pPr>
            <w:r w:rsidRPr="00C60275">
              <w:t>entre bouteilles et matériaux combustibles: 4,6 mètres</w:t>
            </w:r>
          </w:p>
        </w:tc>
        <w:tc>
          <w:tcPr>
            <w:tcW w:w="4925" w:type="dxa"/>
          </w:tcPr>
          <w:p w:rsidR="00C60275" w:rsidRPr="00C60275" w:rsidRDefault="00C60275" w:rsidP="00C60275">
            <w:pPr>
              <w:rPr>
                <w:lang w:val="fr-FR"/>
              </w:rPr>
            </w:pPr>
          </w:p>
        </w:tc>
      </w:tr>
      <w:tr w:rsidR="00C60275" w:rsidRPr="00B42730" w:rsidTr="00C60275">
        <w:tc>
          <w:tcPr>
            <w:tcW w:w="8500" w:type="dxa"/>
          </w:tcPr>
          <w:p w:rsidR="00C60275" w:rsidRPr="00C60275" w:rsidRDefault="00C60275" w:rsidP="009A5BAE">
            <w:pPr>
              <w:pStyle w:val="Toelichtingvraag"/>
              <w:ind w:left="0"/>
              <w:rPr>
                <w:lang w:val="fr-BE"/>
              </w:rPr>
            </w:pPr>
            <w:r w:rsidRPr="00C60275">
              <w:rPr>
                <w:lang w:val="fr-BE"/>
              </w:rPr>
              <w:t>Les distances peuvent être diminuées par le placement d’un écran coupe-feu.</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
              <w:ind w:left="0"/>
              <w:rPr>
                <w:lang w:val="fr-BE"/>
              </w:rPr>
            </w:pPr>
            <w:r w:rsidRPr="00C60275">
              <w:rPr>
                <w:lang w:val="fr-BE"/>
              </w:rPr>
              <w:t>A l’annexe 5.17.1.B du Vlarem II, on reprend également des distances de séparation pour des lieux de stockage pour des gaz en récipients mobiles. Le tableau avec ces distances est repris à la partie 2.2 Réglementation flamande.</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Mesure"/>
            </w:pPr>
            <w:r w:rsidRPr="00C60275">
              <w:t>Résistance au feu du bâtiment de la station de remplissage</w:t>
            </w:r>
          </w:p>
        </w:tc>
        <w:tc>
          <w:tcPr>
            <w:tcW w:w="4925" w:type="dxa"/>
          </w:tcPr>
          <w:p w:rsidR="00C60275" w:rsidRPr="00C60275" w:rsidRDefault="00C60275" w:rsidP="00C60275">
            <w:pPr>
              <w:rPr>
                <w:lang w:val="fr-FR"/>
              </w:rPr>
            </w:pPr>
          </w:p>
        </w:tc>
      </w:tr>
      <w:tr w:rsidR="00C60275" w:rsidRPr="00B42730" w:rsidTr="00C60275">
        <w:tc>
          <w:tcPr>
            <w:tcW w:w="8500" w:type="dxa"/>
          </w:tcPr>
          <w:p w:rsidR="00C60275" w:rsidRPr="00C60275" w:rsidRDefault="00C60275" w:rsidP="009A5BAE">
            <w:pPr>
              <w:pStyle w:val="Toelichtingvraag"/>
              <w:ind w:left="0"/>
              <w:rPr>
                <w:b/>
                <w:lang w:val="fr-BE"/>
              </w:rPr>
            </w:pPr>
            <w:r w:rsidRPr="00C60275">
              <w:rPr>
                <w:lang w:val="fr-BE"/>
              </w:rPr>
              <w:t>La résistance au feu est en accord avec l’article 52 du RGPT.</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Maatregel"/>
              <w:numPr>
                <w:ilvl w:val="0"/>
                <w:numId w:val="2"/>
              </w:numPr>
              <w:tabs>
                <w:tab w:val="clear" w:pos="3686"/>
                <w:tab w:val="num" w:pos="567"/>
              </w:tabs>
              <w:ind w:left="567"/>
              <w:rPr>
                <w:lang w:val="fr-BE"/>
              </w:rPr>
            </w:pPr>
            <w:r w:rsidRPr="00C60275">
              <w:rPr>
                <w:lang w:val="fr-BE"/>
              </w:rPr>
              <w:t>Résistance au feu du bâtiment avec stockage de bouteilles</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
              <w:ind w:left="0"/>
              <w:rPr>
                <w:lang w:val="fr-BE"/>
              </w:rPr>
            </w:pPr>
            <w:r w:rsidRPr="00C60275">
              <w:rPr>
                <w:lang w:val="fr-BE"/>
              </w:rPr>
              <w:t>La résistance au feu est en conformité avec l’article 52 du RGPT et (si d’application) avec l’annexe 6 de l’Arrêté royal du 7 juillet 1994 fixant les normes de base en matière de prévention contre l'incendie et l'explosion, auxquelles les bâtiments nouveaux doivent satisfaire.</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Mesure"/>
              <w:rPr>
                <w:szCs w:val="20"/>
              </w:rPr>
            </w:pPr>
            <w:r w:rsidRPr="00C60275">
              <w:t>Extincteurs portatifs à proximité de l’installation de remplissage</w:t>
            </w:r>
          </w:p>
        </w:tc>
        <w:tc>
          <w:tcPr>
            <w:tcW w:w="4925" w:type="dxa"/>
          </w:tcPr>
          <w:p w:rsidR="00C60275" w:rsidRPr="00C60275" w:rsidRDefault="00C60275" w:rsidP="00C60275">
            <w:pPr>
              <w:rPr>
                <w:lang w:val="fr-FR"/>
              </w:rPr>
            </w:pPr>
          </w:p>
        </w:tc>
      </w:tr>
      <w:tr w:rsidR="00C60275" w:rsidRPr="00B42730" w:rsidTr="00C60275">
        <w:tc>
          <w:tcPr>
            <w:tcW w:w="8500" w:type="dxa"/>
          </w:tcPr>
          <w:p w:rsidR="00C60275" w:rsidRPr="00C60275" w:rsidRDefault="00C60275" w:rsidP="009A5BAE">
            <w:pPr>
              <w:pStyle w:val="Toelichtingvraag"/>
              <w:ind w:left="0"/>
              <w:rPr>
                <w:lang w:val="fr-BE"/>
              </w:rPr>
            </w:pPr>
            <w:r w:rsidRPr="00C60275">
              <w:rPr>
                <w:lang w:val="fr-BE"/>
              </w:rPr>
              <w:lastRenderedPageBreak/>
              <w:t>Les extincteurs portatifs ne sont pas adaptés pour éteindre un feu de gaz. Ils peuvent par contre être utilisés pour éteindre d’autres feux naissant.</w:t>
            </w:r>
          </w:p>
        </w:tc>
        <w:tc>
          <w:tcPr>
            <w:tcW w:w="4925" w:type="dxa"/>
          </w:tcPr>
          <w:p w:rsidR="00C60275" w:rsidRPr="00C60275" w:rsidRDefault="00C60275" w:rsidP="00C60275">
            <w:pPr>
              <w:rPr>
                <w:lang w:val="fr-BE"/>
              </w:rPr>
            </w:pPr>
          </w:p>
        </w:tc>
      </w:tr>
      <w:tr w:rsidR="00C60275" w:rsidRPr="00C60275" w:rsidTr="00C60275">
        <w:tc>
          <w:tcPr>
            <w:tcW w:w="8500" w:type="dxa"/>
          </w:tcPr>
          <w:p w:rsidR="00C60275" w:rsidRPr="00C60275" w:rsidRDefault="00C60275" w:rsidP="009A5BAE">
            <w:pPr>
              <w:pStyle w:val="Toelichtingvraag"/>
              <w:ind w:left="0"/>
            </w:pPr>
            <w:r w:rsidRPr="00C60275">
              <w:t>Nombre et localisation</w:t>
            </w:r>
          </w:p>
        </w:tc>
        <w:tc>
          <w:tcPr>
            <w:tcW w:w="4925" w:type="dxa"/>
          </w:tcPr>
          <w:p w:rsidR="00C60275" w:rsidRPr="00C60275" w:rsidRDefault="00C60275" w:rsidP="00C60275"/>
        </w:tc>
      </w:tr>
      <w:tr w:rsidR="00C60275" w:rsidRPr="00C60275" w:rsidTr="00C60275">
        <w:tc>
          <w:tcPr>
            <w:tcW w:w="8500" w:type="dxa"/>
          </w:tcPr>
          <w:p w:rsidR="00C60275" w:rsidRPr="00C60275" w:rsidRDefault="00C60275" w:rsidP="009A5BAE">
            <w:pPr>
              <w:pStyle w:val="toelichtingvraaginsprong1"/>
            </w:pPr>
            <w:r w:rsidRPr="00C60275">
              <w:t>Facilement accessibles.</w:t>
            </w:r>
          </w:p>
        </w:tc>
        <w:tc>
          <w:tcPr>
            <w:tcW w:w="4925" w:type="dxa"/>
          </w:tcPr>
          <w:p w:rsidR="00C60275" w:rsidRPr="00C60275" w:rsidRDefault="00C60275" w:rsidP="00C60275"/>
        </w:tc>
      </w:tr>
      <w:tr w:rsidR="00C60275" w:rsidRPr="00B42730" w:rsidTr="00C60275">
        <w:tc>
          <w:tcPr>
            <w:tcW w:w="8500" w:type="dxa"/>
          </w:tcPr>
          <w:p w:rsidR="00C60275" w:rsidRPr="00C60275" w:rsidRDefault="00C60275" w:rsidP="009A5BAE">
            <w:pPr>
              <w:pStyle w:val="toelichtingvraaginsprong1"/>
              <w:rPr>
                <w:rFonts w:ascii="TTE1776740t00" w:hAnsi="TTE1776740t00" w:cs="TTE1776740t00"/>
              </w:rPr>
            </w:pPr>
            <w:r w:rsidRPr="00C60275">
              <w:t xml:space="preserve">Déterminés (concertation avec le Service Incendie local compétent). Les conclusions figurent dans un rapport (rédigé par le Service Incendie local et/ou l'entreprise). </w:t>
            </w:r>
          </w:p>
        </w:tc>
        <w:tc>
          <w:tcPr>
            <w:tcW w:w="4925" w:type="dxa"/>
          </w:tcPr>
          <w:p w:rsidR="00C60275" w:rsidRPr="00C60275" w:rsidRDefault="00C60275" w:rsidP="00C60275">
            <w:pPr>
              <w:rPr>
                <w:lang w:val="fr-FR"/>
              </w:rPr>
            </w:pPr>
          </w:p>
        </w:tc>
      </w:tr>
      <w:tr w:rsidR="00C60275" w:rsidRPr="00C60275" w:rsidTr="00C60275">
        <w:tc>
          <w:tcPr>
            <w:tcW w:w="8500" w:type="dxa"/>
          </w:tcPr>
          <w:p w:rsidR="00C60275" w:rsidRPr="00C60275" w:rsidRDefault="00C60275" w:rsidP="009A5BAE">
            <w:pPr>
              <w:pStyle w:val="Toelichtingvraag"/>
              <w:ind w:left="0"/>
            </w:pPr>
            <w:r w:rsidRPr="00C60275">
              <w:t>Inspection et entretien</w:t>
            </w:r>
          </w:p>
        </w:tc>
        <w:tc>
          <w:tcPr>
            <w:tcW w:w="4925" w:type="dxa"/>
          </w:tcPr>
          <w:p w:rsidR="00C60275" w:rsidRPr="00C60275" w:rsidRDefault="00C60275" w:rsidP="00C60275"/>
        </w:tc>
      </w:tr>
      <w:tr w:rsidR="00C60275" w:rsidRPr="00B42730" w:rsidTr="00C60275">
        <w:tc>
          <w:tcPr>
            <w:tcW w:w="8500" w:type="dxa"/>
          </w:tcPr>
          <w:p w:rsidR="00C60275" w:rsidRPr="00C60275" w:rsidRDefault="00C60275" w:rsidP="009A5BAE">
            <w:pPr>
              <w:pStyle w:val="toelichtingvraaginsprong1"/>
            </w:pPr>
            <w:r w:rsidRPr="00C60275">
              <w:t>Les extincteurs portatifs sont repris dans un programme d'inspection/entretien:</w:t>
            </w:r>
          </w:p>
        </w:tc>
        <w:tc>
          <w:tcPr>
            <w:tcW w:w="4925" w:type="dxa"/>
          </w:tcPr>
          <w:p w:rsidR="00C60275" w:rsidRPr="00C60275" w:rsidRDefault="00C60275" w:rsidP="00C60275">
            <w:pPr>
              <w:rPr>
                <w:lang w:val="fr-FR"/>
              </w:rPr>
            </w:pPr>
          </w:p>
        </w:tc>
      </w:tr>
      <w:tr w:rsidR="00C60275" w:rsidRPr="00B42730" w:rsidTr="00C60275">
        <w:tc>
          <w:tcPr>
            <w:tcW w:w="8500" w:type="dxa"/>
          </w:tcPr>
          <w:p w:rsidR="00C60275" w:rsidRPr="00C60275" w:rsidRDefault="00C60275" w:rsidP="009A5BAE">
            <w:pPr>
              <w:pStyle w:val="insprong2bolleke"/>
              <w:numPr>
                <w:ilvl w:val="0"/>
                <w:numId w:val="8"/>
              </w:numPr>
            </w:pPr>
            <w:r w:rsidRPr="00C60275">
              <w:t>contrôle visuel périodique de la présence et de l’accessibilité des extincteurs</w:t>
            </w:r>
          </w:p>
        </w:tc>
        <w:tc>
          <w:tcPr>
            <w:tcW w:w="4925" w:type="dxa"/>
          </w:tcPr>
          <w:p w:rsidR="00C60275" w:rsidRPr="00C60275" w:rsidRDefault="00C60275" w:rsidP="00C60275">
            <w:pPr>
              <w:rPr>
                <w:lang w:val="fr-FR"/>
              </w:rPr>
            </w:pPr>
          </w:p>
        </w:tc>
      </w:tr>
      <w:tr w:rsidR="00C60275" w:rsidRPr="00B42730" w:rsidTr="00C60275">
        <w:tc>
          <w:tcPr>
            <w:tcW w:w="8500" w:type="dxa"/>
          </w:tcPr>
          <w:p w:rsidR="00C60275" w:rsidRPr="00C60275" w:rsidRDefault="00C60275" w:rsidP="009A5BAE">
            <w:pPr>
              <w:pStyle w:val="insprong2bolleke"/>
              <w:numPr>
                <w:ilvl w:val="0"/>
                <w:numId w:val="8"/>
              </w:numPr>
            </w:pPr>
            <w:r w:rsidRPr="00C60275">
              <w:t>inspection annuelle approfondie de chaque extincteur par une personne qualifiée.</w:t>
            </w:r>
          </w:p>
        </w:tc>
        <w:tc>
          <w:tcPr>
            <w:tcW w:w="4925" w:type="dxa"/>
          </w:tcPr>
          <w:p w:rsidR="00C60275" w:rsidRPr="00C60275" w:rsidRDefault="00C60275" w:rsidP="00C60275">
            <w:pPr>
              <w:rPr>
                <w:lang w:val="fr-FR"/>
              </w:rPr>
            </w:pPr>
          </w:p>
        </w:tc>
      </w:tr>
      <w:tr w:rsidR="00C60275" w:rsidRPr="00C60275" w:rsidTr="00C60275">
        <w:tc>
          <w:tcPr>
            <w:tcW w:w="8500" w:type="dxa"/>
          </w:tcPr>
          <w:p w:rsidR="00C60275" w:rsidRPr="00C60275" w:rsidRDefault="00C60275" w:rsidP="009A5BAE">
            <w:pPr>
              <w:pStyle w:val="Toelichtingvraag"/>
              <w:ind w:left="0"/>
            </w:pPr>
            <w:r w:rsidRPr="00C60275">
              <w:t>Formation</w:t>
            </w:r>
          </w:p>
        </w:tc>
        <w:tc>
          <w:tcPr>
            <w:tcW w:w="4925" w:type="dxa"/>
          </w:tcPr>
          <w:p w:rsidR="00C60275" w:rsidRPr="00C60275" w:rsidRDefault="00C60275" w:rsidP="00C60275"/>
        </w:tc>
      </w:tr>
      <w:tr w:rsidR="00C60275" w:rsidRPr="00C60275" w:rsidTr="00C60275">
        <w:tc>
          <w:tcPr>
            <w:tcW w:w="8500" w:type="dxa"/>
          </w:tcPr>
          <w:p w:rsidR="00C60275" w:rsidRPr="00C60275" w:rsidRDefault="00C60275" w:rsidP="009A5BAE">
            <w:pPr>
              <w:pStyle w:val="toelichtingvraaginsprong1"/>
            </w:pPr>
            <w:r w:rsidRPr="00C60275">
              <w:t>Les travailleurs reçoivent un entraînement périodique à l'utilisation d'extincteurs portatifs. La participation à ces formations est enregistrée.</w:t>
            </w:r>
          </w:p>
        </w:tc>
        <w:tc>
          <w:tcPr>
            <w:tcW w:w="4925" w:type="dxa"/>
          </w:tcPr>
          <w:p w:rsidR="00C60275" w:rsidRPr="00C60275" w:rsidRDefault="00C60275" w:rsidP="00C60275"/>
        </w:tc>
      </w:tr>
      <w:tr w:rsidR="00C60275" w:rsidRPr="00C60275" w:rsidTr="00C60275">
        <w:tc>
          <w:tcPr>
            <w:tcW w:w="8500" w:type="dxa"/>
          </w:tcPr>
          <w:p w:rsidR="00C60275" w:rsidRPr="00C60275" w:rsidRDefault="00C60275" w:rsidP="009A5BAE">
            <w:pPr>
              <w:pStyle w:val="Toelichtingvraag"/>
              <w:ind w:left="0"/>
            </w:pPr>
            <w:r w:rsidRPr="00C60275">
              <w:t>Signalisation</w:t>
            </w:r>
          </w:p>
        </w:tc>
        <w:tc>
          <w:tcPr>
            <w:tcW w:w="4925" w:type="dxa"/>
          </w:tcPr>
          <w:p w:rsidR="00C60275" w:rsidRPr="00C60275" w:rsidRDefault="00C60275" w:rsidP="00C60275"/>
        </w:tc>
      </w:tr>
      <w:tr w:rsidR="00C60275" w:rsidRPr="00B42730" w:rsidTr="00C60275">
        <w:tc>
          <w:tcPr>
            <w:tcW w:w="8500" w:type="dxa"/>
          </w:tcPr>
          <w:p w:rsidR="00C60275" w:rsidRPr="00C60275" w:rsidRDefault="00C60275" w:rsidP="009A5BAE">
            <w:pPr>
              <w:pStyle w:val="toelichtingvraaginsprong1"/>
            </w:pPr>
            <w:r w:rsidRPr="00C60275">
              <w:t>Les extincteurs portatifs sont peints en rouge et clairement signalés.</w:t>
            </w:r>
          </w:p>
        </w:tc>
        <w:tc>
          <w:tcPr>
            <w:tcW w:w="4925" w:type="dxa"/>
          </w:tcPr>
          <w:p w:rsidR="00C60275" w:rsidRPr="00B42730" w:rsidRDefault="00C60275" w:rsidP="00C60275">
            <w:pPr>
              <w:rPr>
                <w:lang w:val="fr-FR"/>
              </w:rPr>
            </w:pPr>
          </w:p>
        </w:tc>
      </w:tr>
      <w:tr w:rsidR="00C60275" w:rsidRPr="00B42730" w:rsidTr="00C60275">
        <w:tc>
          <w:tcPr>
            <w:tcW w:w="8500" w:type="dxa"/>
          </w:tcPr>
          <w:p w:rsidR="00C60275" w:rsidRPr="00C60275" w:rsidRDefault="00C60275" w:rsidP="009A5BAE">
            <w:pPr>
              <w:pStyle w:val="Mesure"/>
            </w:pPr>
            <w:r w:rsidRPr="00C60275">
              <w:t>Vêtements retardateurs de flamme pour le personnel qui remplit les bouteilles</w:t>
            </w:r>
          </w:p>
        </w:tc>
        <w:tc>
          <w:tcPr>
            <w:tcW w:w="4925" w:type="dxa"/>
          </w:tcPr>
          <w:p w:rsidR="00C60275" w:rsidRPr="00B42730" w:rsidRDefault="00C60275" w:rsidP="00C60275">
            <w:pPr>
              <w:rPr>
                <w:lang w:val="fr-FR"/>
              </w:rPr>
            </w:pPr>
          </w:p>
        </w:tc>
      </w:tr>
      <w:tr w:rsidR="00C60275" w:rsidRPr="00B42730" w:rsidTr="00C60275">
        <w:tc>
          <w:tcPr>
            <w:tcW w:w="8500" w:type="dxa"/>
          </w:tcPr>
          <w:p w:rsidR="00C60275" w:rsidRPr="00C60275" w:rsidRDefault="00C60275" w:rsidP="009A5BAE">
            <w:pPr>
              <w:pStyle w:val="Toelichtingvraag"/>
              <w:ind w:left="0"/>
              <w:rPr>
                <w:lang w:val="fr-BE"/>
              </w:rPr>
            </w:pPr>
            <w:r w:rsidRPr="00C60275">
              <w:rPr>
                <w:lang w:val="fr-BE"/>
              </w:rPr>
              <w:t xml:space="preserve">Des vêtements retardateurs de flamme offrent à la personne qui les porte une protection contre le feu et le rayonnement de chaleur. </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
              <w:ind w:left="0"/>
              <w:rPr>
                <w:b/>
                <w:lang w:val="fr-BE"/>
              </w:rPr>
            </w:pPr>
            <w:r w:rsidRPr="00C60275">
              <w:rPr>
                <w:lang w:val="fr-BE"/>
              </w:rPr>
              <w:lastRenderedPageBreak/>
              <w:t>De tels vêtements font l’objet de la norme NBN EN ISO 11612 Vêtements de protection - Vêtements de protection contre la chaleur et les flammes.</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Mesure"/>
            </w:pPr>
            <w:r w:rsidRPr="00C60275">
              <w:t>L’installation de remplissage dispose de 2 voies d’évacuation minimum</w:t>
            </w:r>
          </w:p>
        </w:tc>
        <w:tc>
          <w:tcPr>
            <w:tcW w:w="4925" w:type="dxa"/>
          </w:tcPr>
          <w:p w:rsidR="00C60275" w:rsidRPr="00B42730" w:rsidRDefault="00C60275" w:rsidP="00C60275">
            <w:pPr>
              <w:rPr>
                <w:lang w:val="fr-FR"/>
              </w:rPr>
            </w:pPr>
          </w:p>
        </w:tc>
      </w:tr>
      <w:tr w:rsidR="00C60275" w:rsidRPr="00C60275" w:rsidTr="00C60275">
        <w:tc>
          <w:tcPr>
            <w:tcW w:w="8500" w:type="dxa"/>
          </w:tcPr>
          <w:p w:rsidR="00C60275" w:rsidRPr="00C60275" w:rsidRDefault="00C60275" w:rsidP="009A5BAE">
            <w:pPr>
              <w:pStyle w:val="Toelichtingvraag"/>
              <w:ind w:left="0"/>
            </w:pPr>
            <w:r w:rsidRPr="00C60275">
              <w:t>Les voies d’évacuation sont:</w:t>
            </w:r>
          </w:p>
        </w:tc>
        <w:tc>
          <w:tcPr>
            <w:tcW w:w="4925" w:type="dxa"/>
          </w:tcPr>
          <w:p w:rsidR="00C60275" w:rsidRPr="00C60275" w:rsidRDefault="00C60275" w:rsidP="00C60275"/>
        </w:tc>
      </w:tr>
      <w:tr w:rsidR="00C60275" w:rsidRPr="00B42730" w:rsidTr="00C60275">
        <w:tc>
          <w:tcPr>
            <w:tcW w:w="8500" w:type="dxa"/>
          </w:tcPr>
          <w:p w:rsidR="00C60275" w:rsidRPr="00C60275" w:rsidRDefault="00C60275" w:rsidP="009A5BAE">
            <w:pPr>
              <w:pStyle w:val="Toelichtingvraag"/>
              <w:numPr>
                <w:ilvl w:val="0"/>
                <w:numId w:val="29"/>
              </w:numPr>
              <w:rPr>
                <w:lang w:val="fr-BE"/>
              </w:rPr>
            </w:pPr>
            <w:r w:rsidRPr="00C60275">
              <w:rPr>
                <w:lang w:val="fr-BE"/>
              </w:rPr>
              <w:t>libres de tout obstacle et suffisamment larges</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
              <w:numPr>
                <w:ilvl w:val="0"/>
                <w:numId w:val="29"/>
              </w:numPr>
              <w:rPr>
                <w:b/>
                <w:bCs/>
                <w:iCs/>
                <w:lang w:val="fr-BE"/>
              </w:rPr>
            </w:pPr>
            <w:r w:rsidRPr="00C60275">
              <w:rPr>
                <w:lang w:val="fr-BE"/>
              </w:rPr>
              <w:t>indiquées par une signalisation de sécurité.</w:t>
            </w:r>
          </w:p>
        </w:tc>
        <w:tc>
          <w:tcPr>
            <w:tcW w:w="4925" w:type="dxa"/>
          </w:tcPr>
          <w:p w:rsidR="00C60275" w:rsidRPr="00C60275" w:rsidRDefault="00C60275" w:rsidP="00C60275">
            <w:pPr>
              <w:rPr>
                <w:lang w:val="fr-BE"/>
              </w:rPr>
            </w:pPr>
          </w:p>
        </w:tc>
      </w:tr>
      <w:tr w:rsidR="00C60275" w:rsidRPr="00B42730" w:rsidTr="00C60275">
        <w:tc>
          <w:tcPr>
            <w:tcW w:w="8500" w:type="dxa"/>
          </w:tcPr>
          <w:p w:rsidR="00C60275" w:rsidRPr="00C60275" w:rsidRDefault="00C60275" w:rsidP="009A5BAE">
            <w:pPr>
              <w:pStyle w:val="Toelichtingvraag"/>
              <w:ind w:left="0"/>
              <w:rPr>
                <w:b/>
                <w:bCs/>
                <w:iCs/>
                <w:lang w:val="fr-BE"/>
              </w:rPr>
            </w:pPr>
            <w:r w:rsidRPr="00C60275">
              <w:rPr>
                <w:lang w:val="fr-BE"/>
              </w:rPr>
              <w:t>Les personnes présentes dans le centre de remplissage doivent pouvoir quitter le bâtiment rapidement et sans risque de chute. Un chemin de fuite qui implique que l'on doit ramper au-dessus ou en-dessous de bandes transporteuses remplies de bouteilles est bien entendu inacceptable. Les chemins de fuite sont clairement indiqués et visibles depuis chaque emplacement dans le centre de remplissage.</w:t>
            </w:r>
          </w:p>
        </w:tc>
        <w:tc>
          <w:tcPr>
            <w:tcW w:w="4925" w:type="dxa"/>
          </w:tcPr>
          <w:p w:rsidR="00C60275" w:rsidRPr="00C60275" w:rsidRDefault="00C60275" w:rsidP="00C60275">
            <w:pPr>
              <w:rPr>
                <w:lang w:val="fr-BE"/>
              </w:rPr>
            </w:pPr>
          </w:p>
        </w:tc>
      </w:tr>
    </w:tbl>
    <w:p w:rsidR="009C07DA" w:rsidRPr="0052522C" w:rsidRDefault="009C07DA" w:rsidP="00C60275">
      <w:pPr>
        <w:rPr>
          <w:lang w:val="fr-BE"/>
        </w:rPr>
      </w:pPr>
      <w:bookmarkStart w:id="103" w:name="_Toc424747688"/>
      <w:bookmarkEnd w:id="103"/>
    </w:p>
    <w:sectPr w:rsidR="009C07DA" w:rsidRPr="0052522C" w:rsidSect="00BB1139">
      <w:footerReference w:type="even" r:id="rId20"/>
      <w:footerReference w:type="default" r:id="rId21"/>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567" w:rsidRDefault="00A22567" w:rsidP="00D97EAD">
      <w:r>
        <w:separator/>
      </w:r>
    </w:p>
    <w:p w:rsidR="00A22567" w:rsidRDefault="00A22567"/>
    <w:p w:rsidR="00A22567" w:rsidRDefault="00A22567" w:rsidP="004578CC"/>
    <w:p w:rsidR="00A22567" w:rsidRDefault="00A22567" w:rsidP="004578CC"/>
    <w:p w:rsidR="00A22567" w:rsidRDefault="00A22567" w:rsidP="004578CC"/>
    <w:p w:rsidR="00A22567" w:rsidRDefault="00A22567"/>
  </w:endnote>
  <w:endnote w:type="continuationSeparator" w:id="0">
    <w:p w:rsidR="00A22567" w:rsidRDefault="00A22567" w:rsidP="00D97EAD">
      <w:r>
        <w:continuationSeparator/>
      </w:r>
    </w:p>
    <w:p w:rsidR="00A22567" w:rsidRDefault="00A22567"/>
    <w:p w:rsidR="00A22567" w:rsidRDefault="00A22567" w:rsidP="004578CC"/>
    <w:p w:rsidR="00A22567" w:rsidRDefault="00A22567" w:rsidP="004578CC"/>
    <w:p w:rsidR="00A22567" w:rsidRDefault="00A22567" w:rsidP="004578CC"/>
    <w:p w:rsidR="00A22567" w:rsidRDefault="00A2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E1404D78t00">
    <w:altName w:val="Calibri"/>
    <w:panose1 w:val="00000000000000000000"/>
    <w:charset w:val="00"/>
    <w:family w:val="auto"/>
    <w:notTrueType/>
    <w:pitch w:val="default"/>
    <w:sig w:usb0="00000003" w:usb1="00000000" w:usb2="00000000" w:usb3="00000000" w:csb0="00000001" w:csb1="00000000"/>
  </w:font>
  <w:font w:name="TTE1776740t00">
    <w:altName w:val="Calibri"/>
    <w:panose1 w:val="00000000000000000000"/>
    <w:charset w:val="00"/>
    <w:family w:val="auto"/>
    <w:notTrueType/>
    <w:pitch w:val="default"/>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89067A" w:rsidRDefault="00A66DE9" w:rsidP="00E622AF">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w:t>
    </w:r>
    <w:r w:rsidRPr="0089067A">
      <w:rPr>
        <w:rStyle w:val="Paginanummer"/>
        <w:b/>
        <w:color w:val="808080"/>
        <w:sz w:val="36"/>
        <w:szCs w:val="36"/>
      </w:rPr>
      <w:fldChar w:fldCharType="end"/>
    </w:r>
    <w:r>
      <w:rPr>
        <w:rStyle w:val="Paginanummer"/>
        <w:b/>
        <w:color w:val="808080"/>
        <w:sz w:val="36"/>
        <w:szCs w:val="36"/>
      </w:rPr>
      <w:tab/>
    </w:r>
    <w:r>
      <w:rPr>
        <w:rStyle w:val="Paginanummer"/>
        <w:color w:val="999999"/>
        <w:sz w:val="16"/>
        <w:szCs w:val="16"/>
      </w:rPr>
      <w:t>Explications</w:t>
    </w:r>
    <w:r>
      <w:rPr>
        <w:rStyle w:val="Paginanummer"/>
        <w:color w:val="999999"/>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0E7EA7" w:rsidRDefault="00A66DE9" w:rsidP="002C16B2">
    <w:pPr>
      <w:pStyle w:val="Voettekst"/>
      <w:pBdr>
        <w:bottom w:val="single" w:sz="4" w:space="1" w:color="auto"/>
      </w:pBdr>
      <w:rPr>
        <w:lang w:val="fr-BE"/>
      </w:rPr>
    </w:pPr>
    <w:r w:rsidRPr="00A2551C">
      <w:rPr>
        <w:rStyle w:val="Paginanummer"/>
        <w:b/>
        <w:color w:val="999999"/>
        <w:sz w:val="36"/>
        <w:szCs w:val="36"/>
      </w:rPr>
      <w:fldChar w:fldCharType="begin"/>
    </w:r>
    <w:r w:rsidRPr="000E7EA7">
      <w:rPr>
        <w:rStyle w:val="Paginanummer"/>
        <w:b/>
        <w:color w:val="999999"/>
        <w:sz w:val="36"/>
        <w:szCs w:val="36"/>
        <w:lang w:val="fr-BE"/>
      </w:rPr>
      <w:instrText xml:space="preserve"> PAGE </w:instrText>
    </w:r>
    <w:r w:rsidRPr="00A2551C">
      <w:rPr>
        <w:rStyle w:val="Paginanummer"/>
        <w:b/>
        <w:color w:val="999999"/>
        <w:sz w:val="36"/>
        <w:szCs w:val="36"/>
      </w:rPr>
      <w:fldChar w:fldCharType="separate"/>
    </w:r>
    <w:r w:rsidRPr="00143F2C">
      <w:rPr>
        <w:rStyle w:val="Paginanummer"/>
        <w:b/>
        <w:color w:val="999999"/>
        <w:sz w:val="36"/>
        <w:szCs w:val="36"/>
        <w:lang w:val="fr-FR"/>
      </w:rPr>
      <w:t>89</w:t>
    </w:r>
    <w:r w:rsidRPr="00A2551C">
      <w:rPr>
        <w:rStyle w:val="Paginanummer"/>
        <w:b/>
        <w:color w:val="999999"/>
        <w:sz w:val="36"/>
        <w:szCs w:val="36"/>
      </w:rPr>
      <w:fldChar w:fldCharType="end"/>
    </w:r>
    <w:r w:rsidRPr="00143F2C">
      <w:rPr>
        <w:rStyle w:val="Paginanummer"/>
        <w:b/>
        <w:color w:val="999999"/>
        <w:sz w:val="36"/>
        <w:szCs w:val="36"/>
        <w:lang w:val="fr-FR"/>
      </w:rPr>
      <w:tab/>
    </w:r>
    <w:r w:rsidRPr="00A24FB3">
      <w:rPr>
        <w:rStyle w:val="Paginanummer"/>
        <w:color w:val="999999"/>
        <w:sz w:val="16"/>
        <w:szCs w:val="16"/>
        <w:lang w:val="fr-BE"/>
      </w:rPr>
      <w:t>Stockage et remplissage en bouteilles de gaz</w:t>
    </w:r>
    <w:r w:rsidRPr="000E7EA7">
      <w:rPr>
        <w:rStyle w:val="Paginanummer"/>
        <w:b/>
        <w:color w:val="999999"/>
        <w:sz w:val="36"/>
        <w:szCs w:val="36"/>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A2551C" w:rsidRDefault="00A66DE9" w:rsidP="00E622AF">
    <w:pPr>
      <w:pStyle w:val="Voettekst"/>
      <w:pBdr>
        <w:bottom w:val="single" w:sz="4" w:space="1" w:color="auto"/>
      </w:pBdr>
      <w:jc w:val="right"/>
      <w:rPr>
        <w:b/>
        <w:color w:val="999999"/>
        <w:sz w:val="36"/>
        <w:szCs w:val="36"/>
      </w:rPr>
    </w:pP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Pr>
        <w:rStyle w:val="Paginanummer"/>
        <w:b/>
        <w:noProof/>
        <w:color w:val="999999"/>
        <w:sz w:val="36"/>
        <w:szCs w:val="36"/>
      </w:rPr>
      <w:t>2</w:t>
    </w:r>
    <w:r w:rsidRPr="00A2551C">
      <w:rPr>
        <w:rStyle w:val="Paginanummer"/>
        <w:b/>
        <w:color w:val="999999"/>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EE75C2" w:rsidRDefault="00A66DE9" w:rsidP="002C16B2">
    <w:pPr>
      <w:pStyle w:val="Voettekst"/>
      <w:pBdr>
        <w:bottom w:val="single" w:sz="4" w:space="1" w:color="auto"/>
      </w:pBdr>
      <w:rPr>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48</w:t>
    </w:r>
    <w:r w:rsidRPr="0089067A">
      <w:rPr>
        <w:rStyle w:val="Paginanummer"/>
        <w:b/>
        <w:color w:val="808080"/>
        <w:sz w:val="36"/>
        <w:szCs w:val="36"/>
      </w:rPr>
      <w:fldChar w:fldCharType="end"/>
    </w:r>
    <w:r>
      <w:rPr>
        <w:rStyle w:val="Paginanummer"/>
        <w:b/>
        <w:color w:val="808080"/>
        <w:sz w:val="36"/>
        <w:szCs w:val="36"/>
      </w:rPr>
      <w:tab/>
    </w:r>
    <w:r w:rsidRPr="008A7B77">
      <w:rPr>
        <w:rStyle w:val="Paginanummer"/>
        <w:color w:val="999999"/>
        <w:sz w:val="16"/>
        <w:szCs w:val="16"/>
        <w:lang w:val="fr-BE"/>
      </w:rPr>
      <w:t>Réservoirs et système de tuyauteries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DA5A8B" w:rsidRDefault="00A66DE9" w:rsidP="00CF336B">
    <w:pPr>
      <w:pStyle w:val="Voettekst"/>
      <w:pBdr>
        <w:bottom w:val="single" w:sz="4" w:space="1" w:color="auto"/>
      </w:pBdr>
      <w:rPr>
        <w:lang w:val="fr-BE"/>
      </w:rPr>
    </w:pPr>
    <w:r w:rsidRPr="00A2551C">
      <w:rPr>
        <w:rStyle w:val="Paginanummer"/>
        <w:b/>
        <w:color w:val="999999"/>
        <w:sz w:val="36"/>
        <w:szCs w:val="36"/>
      </w:rPr>
      <w:fldChar w:fldCharType="begin"/>
    </w:r>
    <w:r w:rsidRPr="00DA5A8B">
      <w:rPr>
        <w:rStyle w:val="Paginanummer"/>
        <w:b/>
        <w:color w:val="999999"/>
        <w:sz w:val="36"/>
        <w:szCs w:val="36"/>
        <w:lang w:val="fr-BE"/>
      </w:rPr>
      <w:instrText xml:space="preserve"> PAGE </w:instrText>
    </w:r>
    <w:r w:rsidRPr="00A2551C">
      <w:rPr>
        <w:rStyle w:val="Paginanummer"/>
        <w:b/>
        <w:color w:val="999999"/>
        <w:sz w:val="36"/>
        <w:szCs w:val="36"/>
      </w:rPr>
      <w:fldChar w:fldCharType="separate"/>
    </w:r>
    <w:r w:rsidRPr="0053513C">
      <w:rPr>
        <w:rStyle w:val="Paginanummer"/>
        <w:b/>
        <w:color w:val="999999"/>
        <w:sz w:val="36"/>
        <w:szCs w:val="36"/>
        <w:lang w:val="fr-FR"/>
      </w:rPr>
      <w:t>3</w:t>
    </w:r>
    <w:r w:rsidRPr="00A2551C">
      <w:rPr>
        <w:rStyle w:val="Paginanummer"/>
        <w:b/>
        <w:color w:val="999999"/>
        <w:sz w:val="36"/>
        <w:szCs w:val="36"/>
      </w:rPr>
      <w:fldChar w:fldCharType="end"/>
    </w:r>
    <w:r w:rsidRPr="0053513C">
      <w:rPr>
        <w:rStyle w:val="Paginanummer"/>
        <w:b/>
        <w:color w:val="999999"/>
        <w:sz w:val="36"/>
        <w:szCs w:val="36"/>
        <w:lang w:val="fr-FR"/>
      </w:rPr>
      <w:tab/>
    </w:r>
    <w:r w:rsidRPr="008A7B77">
      <w:rPr>
        <w:rStyle w:val="Paginanummer"/>
        <w:color w:val="999999"/>
        <w:sz w:val="16"/>
        <w:szCs w:val="16"/>
        <w:lang w:val="fr-BE"/>
      </w:rPr>
      <w:t>Réservoirs et système de tuyauteries</w:t>
    </w:r>
    <w:r w:rsidRPr="00DA5A8B">
      <w:rPr>
        <w:rStyle w:val="Paginanummer"/>
        <w:b/>
        <w:color w:val="999999"/>
        <w:sz w:val="36"/>
        <w:szCs w:val="36"/>
        <w:lang w:val="fr-BE"/>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D54E62" w:rsidRDefault="00A66DE9" w:rsidP="002C16B2">
    <w:pPr>
      <w:pStyle w:val="Voettekst"/>
      <w:pBdr>
        <w:bottom w:val="single" w:sz="4" w:space="1" w:color="auto"/>
      </w:pBdr>
      <w:rPr>
        <w:szCs w:val="16"/>
        <w:lang w:val="fr-BE"/>
      </w:rPr>
    </w:pPr>
    <w:r w:rsidRPr="0089067A">
      <w:rPr>
        <w:rStyle w:val="Paginanummer"/>
        <w:b/>
        <w:color w:val="808080"/>
        <w:sz w:val="36"/>
        <w:szCs w:val="36"/>
      </w:rPr>
      <w:fldChar w:fldCharType="begin"/>
    </w:r>
    <w:r w:rsidRPr="00D54E62">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62</w:t>
    </w:r>
    <w:r w:rsidRPr="0089067A">
      <w:rPr>
        <w:rStyle w:val="Paginanummer"/>
        <w:b/>
        <w:color w:val="808080"/>
        <w:sz w:val="36"/>
        <w:szCs w:val="36"/>
      </w:rPr>
      <w:fldChar w:fldCharType="end"/>
    </w:r>
    <w:r w:rsidRPr="00D54E62">
      <w:rPr>
        <w:rStyle w:val="Paginanummer"/>
        <w:b/>
        <w:color w:val="808080"/>
        <w:sz w:val="36"/>
        <w:szCs w:val="36"/>
        <w:lang w:val="fr-BE"/>
      </w:rPr>
      <w:tab/>
    </w:r>
    <w:r w:rsidRPr="000E7EA7">
      <w:rPr>
        <w:rStyle w:val="Paginanummer"/>
        <w:color w:val="999999"/>
        <w:sz w:val="16"/>
        <w:szCs w:val="16"/>
        <w:lang w:val="fr-BE"/>
      </w:rPr>
      <w:t>Postes de (dé)chargement pour cam</w:t>
    </w:r>
    <w:r>
      <w:rPr>
        <w:rStyle w:val="Paginanummer"/>
        <w:color w:val="999999"/>
        <w:sz w:val="16"/>
        <w:szCs w:val="16"/>
        <w:lang w:val="fr-BE"/>
      </w:rPr>
      <w:t>ions- ou wagons-citernes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0E7EA7" w:rsidRDefault="00A66DE9" w:rsidP="002C16B2">
    <w:pPr>
      <w:pStyle w:val="Voettekst"/>
      <w:pBdr>
        <w:bottom w:val="single" w:sz="4" w:space="1" w:color="auto"/>
      </w:pBdr>
      <w:rPr>
        <w:lang w:val="fr-BE"/>
      </w:rPr>
    </w:pPr>
    <w:r w:rsidRPr="00A2551C">
      <w:rPr>
        <w:rStyle w:val="Paginanummer"/>
        <w:b/>
        <w:color w:val="999999"/>
        <w:sz w:val="36"/>
        <w:szCs w:val="36"/>
      </w:rPr>
      <w:fldChar w:fldCharType="begin"/>
    </w:r>
    <w:r w:rsidRPr="000E7EA7">
      <w:rPr>
        <w:rStyle w:val="Paginanummer"/>
        <w:b/>
        <w:color w:val="999999"/>
        <w:sz w:val="36"/>
        <w:szCs w:val="36"/>
        <w:lang w:val="fr-BE"/>
      </w:rPr>
      <w:instrText xml:space="preserve"> PAGE </w:instrText>
    </w:r>
    <w:r w:rsidRPr="00A2551C">
      <w:rPr>
        <w:rStyle w:val="Paginanummer"/>
        <w:b/>
        <w:color w:val="999999"/>
        <w:sz w:val="36"/>
        <w:szCs w:val="36"/>
      </w:rPr>
      <w:fldChar w:fldCharType="separate"/>
    </w:r>
    <w:r w:rsidRPr="005A6F16">
      <w:rPr>
        <w:rStyle w:val="Paginanummer"/>
        <w:b/>
        <w:color w:val="999999"/>
        <w:sz w:val="36"/>
        <w:szCs w:val="36"/>
        <w:lang w:val="fr-FR"/>
      </w:rPr>
      <w:t>41</w:t>
    </w:r>
    <w:r w:rsidRPr="00A2551C">
      <w:rPr>
        <w:rStyle w:val="Paginanummer"/>
        <w:b/>
        <w:color w:val="999999"/>
        <w:sz w:val="36"/>
        <w:szCs w:val="36"/>
      </w:rPr>
      <w:fldChar w:fldCharType="end"/>
    </w:r>
    <w:r w:rsidRPr="005A6F16">
      <w:rPr>
        <w:rStyle w:val="Paginanummer"/>
        <w:b/>
        <w:color w:val="999999"/>
        <w:sz w:val="36"/>
        <w:szCs w:val="36"/>
        <w:lang w:val="fr-FR"/>
      </w:rPr>
      <w:tab/>
    </w:r>
    <w:r w:rsidRPr="000E7EA7">
      <w:rPr>
        <w:rStyle w:val="Paginanummer"/>
        <w:color w:val="999999"/>
        <w:sz w:val="16"/>
        <w:szCs w:val="16"/>
        <w:lang w:val="fr-BE"/>
      </w:rPr>
      <w:t>Postes de (dé)chargement pour cam</w:t>
    </w:r>
    <w:r>
      <w:rPr>
        <w:rStyle w:val="Paginanummer"/>
        <w:color w:val="999999"/>
        <w:sz w:val="16"/>
        <w:szCs w:val="16"/>
        <w:lang w:val="fr-BE"/>
      </w:rPr>
      <w:t>ions- ou wagons-citernes</w:t>
    </w:r>
    <w:r w:rsidRPr="000E7EA7">
      <w:rPr>
        <w:rStyle w:val="Paginanummer"/>
        <w:b/>
        <w:color w:val="999999"/>
        <w:sz w:val="36"/>
        <w:szCs w:val="36"/>
        <w:lang w:val="fr-BE"/>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D54E62" w:rsidRDefault="00A66DE9" w:rsidP="002C16B2">
    <w:pPr>
      <w:pStyle w:val="Voettekst"/>
      <w:pBdr>
        <w:bottom w:val="single" w:sz="4" w:space="1" w:color="auto"/>
      </w:pBdr>
      <w:rPr>
        <w:szCs w:val="16"/>
        <w:lang w:val="fr-BE"/>
      </w:rPr>
    </w:pPr>
    <w:r w:rsidRPr="0089067A">
      <w:rPr>
        <w:rStyle w:val="Paginanummer"/>
        <w:b/>
        <w:color w:val="808080"/>
        <w:sz w:val="36"/>
        <w:szCs w:val="36"/>
      </w:rPr>
      <w:fldChar w:fldCharType="begin"/>
    </w:r>
    <w:r w:rsidRPr="00D54E62">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76</w:t>
    </w:r>
    <w:r w:rsidRPr="0089067A">
      <w:rPr>
        <w:rStyle w:val="Paginanummer"/>
        <w:b/>
        <w:color w:val="808080"/>
        <w:sz w:val="36"/>
        <w:szCs w:val="36"/>
      </w:rPr>
      <w:fldChar w:fldCharType="end"/>
    </w:r>
    <w:r w:rsidRPr="00D54E62">
      <w:rPr>
        <w:rStyle w:val="Paginanummer"/>
        <w:b/>
        <w:color w:val="808080"/>
        <w:sz w:val="36"/>
        <w:szCs w:val="36"/>
        <w:lang w:val="fr-BE"/>
      </w:rPr>
      <w:tab/>
    </w:r>
    <w:r w:rsidRPr="00A24FB3">
      <w:rPr>
        <w:rStyle w:val="Paginanummer"/>
        <w:color w:val="999999"/>
        <w:sz w:val="16"/>
        <w:szCs w:val="16"/>
        <w:lang w:val="fr-BE"/>
      </w:rPr>
      <w:t>Postes de (dé)chargement pour bateaux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0E7EA7" w:rsidRDefault="00A66DE9" w:rsidP="00D54E62">
    <w:pPr>
      <w:pStyle w:val="Voettekst"/>
      <w:pBdr>
        <w:bottom w:val="single" w:sz="4" w:space="0" w:color="auto"/>
      </w:pBdr>
      <w:rPr>
        <w:lang w:val="fr-BE"/>
      </w:rPr>
    </w:pPr>
    <w:r w:rsidRPr="00A2551C">
      <w:rPr>
        <w:rStyle w:val="Paginanummer"/>
        <w:b/>
        <w:color w:val="999999"/>
        <w:sz w:val="36"/>
        <w:szCs w:val="36"/>
      </w:rPr>
      <w:fldChar w:fldCharType="begin"/>
    </w:r>
    <w:r w:rsidRPr="000E7EA7">
      <w:rPr>
        <w:rStyle w:val="Paginanummer"/>
        <w:b/>
        <w:color w:val="999999"/>
        <w:sz w:val="36"/>
        <w:szCs w:val="36"/>
        <w:lang w:val="fr-BE"/>
      </w:rPr>
      <w:instrText xml:space="preserve"> PAGE </w:instrText>
    </w:r>
    <w:r w:rsidRPr="00A2551C">
      <w:rPr>
        <w:rStyle w:val="Paginanummer"/>
        <w:b/>
        <w:color w:val="999999"/>
        <w:sz w:val="36"/>
        <w:szCs w:val="36"/>
      </w:rPr>
      <w:fldChar w:fldCharType="separate"/>
    </w:r>
    <w:r w:rsidRPr="005A6F16">
      <w:rPr>
        <w:rStyle w:val="Paginanummer"/>
        <w:b/>
        <w:color w:val="999999"/>
        <w:sz w:val="36"/>
        <w:szCs w:val="36"/>
        <w:lang w:val="fr-FR"/>
      </w:rPr>
      <w:t>41</w:t>
    </w:r>
    <w:r w:rsidRPr="00A2551C">
      <w:rPr>
        <w:rStyle w:val="Paginanummer"/>
        <w:b/>
        <w:color w:val="999999"/>
        <w:sz w:val="36"/>
        <w:szCs w:val="36"/>
      </w:rPr>
      <w:fldChar w:fldCharType="end"/>
    </w:r>
    <w:r w:rsidRPr="005A6F16">
      <w:rPr>
        <w:rStyle w:val="Paginanummer"/>
        <w:b/>
        <w:color w:val="999999"/>
        <w:sz w:val="36"/>
        <w:szCs w:val="36"/>
        <w:lang w:val="fr-FR"/>
      </w:rPr>
      <w:tab/>
    </w:r>
    <w:r w:rsidRPr="00A24FB3">
      <w:rPr>
        <w:rStyle w:val="Paginanummer"/>
        <w:color w:val="999999"/>
        <w:sz w:val="16"/>
        <w:szCs w:val="16"/>
        <w:lang w:val="fr-BE"/>
      </w:rPr>
      <w:t>Postes de (dé)chargement pour bateaux</w:t>
    </w:r>
    <w:r w:rsidRPr="000E7EA7">
      <w:rPr>
        <w:rStyle w:val="Paginanummer"/>
        <w:b/>
        <w:color w:val="999999"/>
        <w:sz w:val="36"/>
        <w:szCs w:val="36"/>
        <w:lang w:val="fr-BE"/>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143F2C" w:rsidRDefault="00A66DE9" w:rsidP="002C16B2">
    <w:pPr>
      <w:pStyle w:val="Voettekst"/>
      <w:pBdr>
        <w:bottom w:val="single" w:sz="4" w:space="1" w:color="auto"/>
      </w:pBdr>
      <w:rPr>
        <w:szCs w:val="16"/>
        <w:lang w:val="fr-FR"/>
      </w:rPr>
    </w:pPr>
    <w:r w:rsidRPr="0089067A">
      <w:rPr>
        <w:rStyle w:val="Paginanummer"/>
        <w:b/>
        <w:color w:val="808080"/>
        <w:sz w:val="36"/>
        <w:szCs w:val="36"/>
      </w:rPr>
      <w:fldChar w:fldCharType="begin"/>
    </w:r>
    <w:r w:rsidRPr="00143F2C">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143F2C">
      <w:rPr>
        <w:rStyle w:val="Paginanummer"/>
        <w:b/>
        <w:noProof/>
        <w:color w:val="808080"/>
        <w:sz w:val="36"/>
        <w:szCs w:val="36"/>
        <w:lang w:val="fr-FR"/>
      </w:rPr>
      <w:t>84</w:t>
    </w:r>
    <w:r w:rsidRPr="0089067A">
      <w:rPr>
        <w:rStyle w:val="Paginanummer"/>
        <w:b/>
        <w:color w:val="808080"/>
        <w:sz w:val="36"/>
        <w:szCs w:val="36"/>
      </w:rPr>
      <w:fldChar w:fldCharType="end"/>
    </w:r>
    <w:r w:rsidRPr="00143F2C">
      <w:rPr>
        <w:rStyle w:val="Paginanummer"/>
        <w:b/>
        <w:color w:val="808080"/>
        <w:sz w:val="36"/>
        <w:szCs w:val="36"/>
        <w:lang w:val="fr-FR"/>
      </w:rPr>
      <w:tab/>
    </w:r>
    <w:r w:rsidRPr="00A24FB3">
      <w:rPr>
        <w:rStyle w:val="Paginanummer"/>
        <w:color w:val="999999"/>
        <w:sz w:val="16"/>
        <w:szCs w:val="16"/>
        <w:lang w:val="fr-BE"/>
      </w:rPr>
      <w:t>Stockage et remplissage en bouteilles de gaz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567" w:rsidRDefault="00A22567" w:rsidP="004578CC">
      <w:r>
        <w:separator/>
      </w:r>
    </w:p>
  </w:footnote>
  <w:footnote w:type="continuationSeparator" w:id="0">
    <w:p w:rsidR="00A22567" w:rsidRDefault="00A22567" w:rsidP="00D97EAD">
      <w:r>
        <w:continuationSeparator/>
      </w:r>
    </w:p>
    <w:p w:rsidR="00A22567" w:rsidRDefault="00A22567"/>
  </w:footnote>
  <w:footnote w:type="continuationNotice" w:id="1">
    <w:p w:rsidR="00A22567" w:rsidRDefault="00A22567"/>
  </w:footnote>
  <w:footnote w:id="2">
    <w:p w:rsidR="00A66DE9" w:rsidRPr="00A722C1" w:rsidRDefault="00A66DE9">
      <w:pPr>
        <w:pStyle w:val="Voetnoottekst"/>
        <w:rPr>
          <w:lang w:val="fr-FR"/>
        </w:rPr>
      </w:pPr>
      <w:r w:rsidRPr="000302ED">
        <w:rPr>
          <w:rStyle w:val="Voetnootmarkering"/>
        </w:rPr>
        <w:footnoteRef/>
      </w:r>
      <w:r w:rsidRPr="000302ED">
        <w:rPr>
          <w:lang w:val="fr-FR"/>
        </w:rPr>
        <w:t xml:space="preserve"> </w:t>
      </w:r>
      <w:r w:rsidRPr="000302ED">
        <w:rPr>
          <w:sz w:val="16"/>
          <w:szCs w:val="16"/>
          <w:lang w:val="fr-FR"/>
        </w:rPr>
        <w:t>La mise sur le marché d’équipements sous pression et d’ensembles conformes à la réglementation belge en vigueur avant l’entrée en vigueur de cet arrêté, a été permise jusqu’au 29 mai 2002.</w:t>
      </w:r>
    </w:p>
  </w:footnote>
  <w:footnote w:id="3">
    <w:p w:rsidR="00A66DE9" w:rsidRPr="005E5F66" w:rsidRDefault="00A66DE9">
      <w:pPr>
        <w:pStyle w:val="Voetnoottekst"/>
        <w:rPr>
          <w:lang w:val="fr-BE"/>
        </w:rPr>
      </w:pPr>
      <w:r>
        <w:rPr>
          <w:rStyle w:val="Voetnootmarkering"/>
        </w:rPr>
        <w:footnoteRef/>
      </w:r>
      <w:r w:rsidRPr="005E5F66">
        <w:rPr>
          <w:lang w:val="fr-BE"/>
        </w:rPr>
        <w:t xml:space="preserve"> </w:t>
      </w:r>
      <w:r w:rsidRPr="00E37001">
        <w:rPr>
          <w:sz w:val="16"/>
          <w:szCs w:val="16"/>
          <w:lang w:val="fr-BE"/>
        </w:rPr>
        <w:t>Accord européen relatif au transport international de marchandises dangereuses par voies de navigation intérieures</w:t>
      </w:r>
    </w:p>
  </w:footnote>
  <w:footnote w:id="4">
    <w:p w:rsidR="00A66DE9" w:rsidRPr="007C01DF" w:rsidRDefault="00A66DE9">
      <w:pPr>
        <w:pStyle w:val="Voetnoottekst"/>
        <w:rPr>
          <w:lang w:val="nl-BE"/>
        </w:rPr>
      </w:pPr>
      <w:r>
        <w:rPr>
          <w:rStyle w:val="Voetnootmarkering"/>
        </w:rPr>
        <w:footnoteRef/>
      </w:r>
      <w:r>
        <w:t xml:space="preserve"> </w:t>
      </w:r>
      <w:r w:rsidRPr="007C01DF">
        <w:rPr>
          <w:sz w:val="16"/>
          <w:szCs w:val="16"/>
        </w:rPr>
        <w:t>International Maritime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662291" w:rsidRDefault="00A66DE9" w:rsidP="00B42730">
    <w:pPr>
      <w:pStyle w:val="Koptekst"/>
      <w:pBdr>
        <w:top w:val="single" w:sz="4" w:space="1" w:color="auto"/>
      </w:pBdr>
      <w:tabs>
        <w:tab w:val="clear" w:pos="9072"/>
        <w:tab w:val="right" w:pos="13892"/>
      </w:tabs>
      <w:rPr>
        <w:sz w:val="16"/>
        <w:szCs w:val="16"/>
        <w:lang w:val="fr-FR"/>
      </w:rPr>
    </w:pPr>
    <w:r w:rsidRPr="00C24C4E">
      <w:rPr>
        <w:rFonts w:cs="Arial"/>
        <w:sz w:val="16"/>
        <w:szCs w:val="16"/>
        <w:lang w:val="fr-FR"/>
      </w:rPr>
      <w:t>Outil d’inspection</w:t>
    </w:r>
    <w:r>
      <w:rPr>
        <w:rFonts w:cs="Arial"/>
        <w:sz w:val="16"/>
        <w:szCs w:val="16"/>
        <w:lang w:val="fr-FR"/>
      </w:rPr>
      <w:t xml:space="preserve"> </w:t>
    </w:r>
    <w:r w:rsidRPr="00C24C4E">
      <w:rPr>
        <w:rFonts w:cs="Arial"/>
        <w:sz w:val="16"/>
        <w:szCs w:val="16"/>
        <w:lang w:val="fr-FR"/>
      </w:rPr>
      <w:t>Gaz inflammables</w:t>
    </w:r>
    <w:r>
      <w:rPr>
        <w:rFonts w:cs="Arial"/>
        <w:sz w:val="16"/>
        <w:szCs w:val="16"/>
        <w:lang w:val="fr-FR"/>
      </w:rPr>
      <w:t xml:space="preserve"> </w:t>
    </w:r>
    <w:r>
      <w:rPr>
        <w:sz w:val="16"/>
        <w:szCs w:val="16"/>
        <w:lang w:val="fr-FR"/>
      </w:rPr>
      <w:t>liquéfiés</w:t>
    </w:r>
    <w:r>
      <w:rPr>
        <w:rFonts w:cs="Arial"/>
        <w:sz w:val="16"/>
        <w:szCs w:val="16"/>
        <w:lang w:val="fr-FR"/>
      </w:rPr>
      <w:tab/>
    </w:r>
    <w:r>
      <w:rPr>
        <w:rFonts w:cs="Arial"/>
        <w:sz w:val="16"/>
        <w:szCs w:val="16"/>
        <w:lang w:val="fr-FR"/>
      </w:rPr>
      <w:tab/>
    </w:r>
    <w:r w:rsidR="00B42730">
      <w:rPr>
        <w:rFonts w:cs="Arial"/>
        <w:sz w:val="16"/>
        <w:szCs w:val="16"/>
        <w:lang w:val="fr-FR"/>
      </w:rPr>
      <w:t>VERSION DE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DE9" w:rsidRPr="00B42730" w:rsidRDefault="00B42730" w:rsidP="00B42730">
    <w:pPr>
      <w:pStyle w:val="Koptekst"/>
      <w:pBdr>
        <w:top w:val="single" w:sz="4" w:space="1" w:color="auto"/>
      </w:pBdr>
      <w:tabs>
        <w:tab w:val="clear" w:pos="9072"/>
        <w:tab w:val="right" w:pos="13892"/>
      </w:tabs>
      <w:rPr>
        <w:sz w:val="16"/>
        <w:szCs w:val="16"/>
        <w:lang w:val="fr-FR"/>
      </w:rPr>
    </w:pPr>
    <w:r w:rsidRPr="00C24C4E">
      <w:rPr>
        <w:rFonts w:cs="Arial"/>
        <w:sz w:val="16"/>
        <w:szCs w:val="16"/>
        <w:lang w:val="fr-FR"/>
      </w:rPr>
      <w:t>Outil d’inspection</w:t>
    </w:r>
    <w:r>
      <w:rPr>
        <w:rFonts w:cs="Arial"/>
        <w:sz w:val="16"/>
        <w:szCs w:val="16"/>
        <w:lang w:val="fr-FR"/>
      </w:rPr>
      <w:t xml:space="preserve"> </w:t>
    </w:r>
    <w:r w:rsidRPr="00C24C4E">
      <w:rPr>
        <w:rFonts w:cs="Arial"/>
        <w:sz w:val="16"/>
        <w:szCs w:val="16"/>
        <w:lang w:val="fr-FR"/>
      </w:rPr>
      <w:t>Gaz inflammables</w:t>
    </w:r>
    <w:r>
      <w:rPr>
        <w:rFonts w:cs="Arial"/>
        <w:sz w:val="16"/>
        <w:szCs w:val="16"/>
        <w:lang w:val="fr-FR"/>
      </w:rPr>
      <w:t xml:space="preserve"> </w:t>
    </w:r>
    <w:r>
      <w:rPr>
        <w:sz w:val="16"/>
        <w:szCs w:val="16"/>
        <w:lang w:val="fr-FR"/>
      </w:rPr>
      <w:t>liquéfiés</w:t>
    </w:r>
    <w:r>
      <w:rPr>
        <w:rFonts w:cs="Arial"/>
        <w:sz w:val="16"/>
        <w:szCs w:val="16"/>
        <w:lang w:val="fr-FR"/>
      </w:rPr>
      <w:tab/>
    </w:r>
    <w:r>
      <w:rPr>
        <w:rFonts w:cs="Arial"/>
        <w:sz w:val="16"/>
        <w:szCs w:val="16"/>
        <w:lang w:val="fr-FR"/>
      </w:rPr>
      <w:tab/>
      <w:t>VERSION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74EEC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BC6C55"/>
    <w:multiLevelType w:val="hybridMultilevel"/>
    <w:tmpl w:val="2FC64F8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BB4D4A"/>
    <w:multiLevelType w:val="hybridMultilevel"/>
    <w:tmpl w:val="9280C862"/>
    <w:lvl w:ilvl="0" w:tplc="04090003">
      <w:start w:val="1"/>
      <w:numFmt w:val="bullet"/>
      <w:lvlText w:val="o"/>
      <w:lvlJc w:val="left"/>
      <w:pPr>
        <w:ind w:left="2027" w:hanging="360"/>
      </w:pPr>
      <w:rPr>
        <w:rFonts w:ascii="Courier New" w:hAnsi="Courier New" w:cs="Courier New"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3" w15:restartNumberingAfterBreak="0">
    <w:nsid w:val="09967E6F"/>
    <w:multiLevelType w:val="hybridMultilevel"/>
    <w:tmpl w:val="35C29C24"/>
    <w:lvl w:ilvl="0" w:tplc="8B6666BE">
      <w:start w:val="1"/>
      <w:numFmt w:val="decimal"/>
      <w:pStyle w:val="Vraag"/>
      <w:lvlText w:val="%1."/>
      <w:lvlJc w:val="left"/>
      <w:pPr>
        <w:tabs>
          <w:tab w:val="num" w:pos="3686"/>
        </w:tabs>
        <w:ind w:left="3686" w:hanging="567"/>
      </w:pPr>
      <w:rPr>
        <w:rFonts w:hint="default"/>
      </w:rPr>
    </w:lvl>
    <w:lvl w:ilvl="1" w:tplc="D6503D02">
      <w:start w:val="1"/>
      <w:numFmt w:val="bullet"/>
      <w:lvlText w:val=""/>
      <w:lvlJc w:val="left"/>
      <w:pPr>
        <w:tabs>
          <w:tab w:val="num" w:pos="1440"/>
        </w:tabs>
        <w:ind w:left="1440" w:hanging="360"/>
      </w:pPr>
      <w:rPr>
        <w:rFonts w:ascii="Symbol" w:hAnsi="Symbol" w:hint="default"/>
      </w:rPr>
    </w:lvl>
    <w:lvl w:ilvl="2" w:tplc="D6D07FF4">
      <w:start w:val="1"/>
      <w:numFmt w:val="decimal"/>
      <w:lvlText w:val="(%3)"/>
      <w:lvlJc w:val="right"/>
      <w:pPr>
        <w:tabs>
          <w:tab w:val="num" w:pos="2160"/>
        </w:tabs>
        <w:ind w:left="2160" w:hanging="180"/>
      </w:pPr>
      <w:rPr>
        <w:rFonts w:ascii="Verdana" w:eastAsia="Times New Roman" w:hAnsi="Verdana" w:cs="Times New Roman"/>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C15397D"/>
    <w:multiLevelType w:val="hybridMultilevel"/>
    <w:tmpl w:val="64A462B4"/>
    <w:lvl w:ilvl="0" w:tplc="134EF0EE">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5" w15:restartNumberingAfterBreak="0">
    <w:nsid w:val="0E1A3DBA"/>
    <w:multiLevelType w:val="hybridMultilevel"/>
    <w:tmpl w:val="9DDC86A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0F1429FD"/>
    <w:multiLevelType w:val="hybridMultilevel"/>
    <w:tmpl w:val="1DBE5C9A"/>
    <w:lvl w:ilvl="0" w:tplc="E7F8D6A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81B80D22">
      <w:numFmt w:val="bullet"/>
      <w:lvlText w:val="•"/>
      <w:lvlJc w:val="left"/>
      <w:pPr>
        <w:ind w:left="2115" w:hanging="360"/>
      </w:pPr>
      <w:rPr>
        <w:rFonts w:ascii="Verdana" w:eastAsia="Times New Roman" w:hAnsi="Verdana" w:cs="Times New Roman"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7" w15:restartNumberingAfterBreak="0">
    <w:nsid w:val="0FA2703C"/>
    <w:multiLevelType w:val="hybridMultilevel"/>
    <w:tmpl w:val="DCCE6184"/>
    <w:lvl w:ilvl="0" w:tplc="04090003">
      <w:start w:val="1"/>
      <w:numFmt w:val="bullet"/>
      <w:lvlText w:val="o"/>
      <w:lvlJc w:val="left"/>
      <w:pPr>
        <w:ind w:left="1713" w:hanging="360"/>
      </w:pPr>
      <w:rPr>
        <w:rFonts w:ascii="Courier New" w:hAnsi="Courier New" w:cs="Courier New" w:hint="default"/>
        <w:color w:val="auto"/>
        <w:lang w:val="nl-NL"/>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06222D6"/>
    <w:multiLevelType w:val="hybridMultilevel"/>
    <w:tmpl w:val="65A26180"/>
    <w:lvl w:ilvl="0" w:tplc="08130003">
      <w:start w:val="1"/>
      <w:numFmt w:val="bullet"/>
      <w:lvlText w:val="o"/>
      <w:lvlJc w:val="left"/>
      <w:pPr>
        <w:ind w:left="960" w:hanging="360"/>
      </w:pPr>
      <w:rPr>
        <w:rFonts w:ascii="Courier New" w:hAnsi="Courier New" w:cs="Courier New" w:hint="default"/>
      </w:rPr>
    </w:lvl>
    <w:lvl w:ilvl="1" w:tplc="08130003" w:tentative="1">
      <w:start w:val="1"/>
      <w:numFmt w:val="bullet"/>
      <w:lvlText w:val="o"/>
      <w:lvlJc w:val="left"/>
      <w:pPr>
        <w:ind w:left="1680" w:hanging="360"/>
      </w:pPr>
      <w:rPr>
        <w:rFonts w:ascii="Courier New" w:hAnsi="Courier New" w:cs="Courier New" w:hint="default"/>
      </w:rPr>
    </w:lvl>
    <w:lvl w:ilvl="2" w:tplc="08130005" w:tentative="1">
      <w:start w:val="1"/>
      <w:numFmt w:val="bullet"/>
      <w:lvlText w:val=""/>
      <w:lvlJc w:val="left"/>
      <w:pPr>
        <w:ind w:left="2400" w:hanging="360"/>
      </w:pPr>
      <w:rPr>
        <w:rFonts w:ascii="Wingdings" w:hAnsi="Wingdings" w:hint="default"/>
      </w:rPr>
    </w:lvl>
    <w:lvl w:ilvl="3" w:tplc="08130001" w:tentative="1">
      <w:start w:val="1"/>
      <w:numFmt w:val="bullet"/>
      <w:lvlText w:val=""/>
      <w:lvlJc w:val="left"/>
      <w:pPr>
        <w:ind w:left="3120" w:hanging="360"/>
      </w:pPr>
      <w:rPr>
        <w:rFonts w:ascii="Symbol" w:hAnsi="Symbol" w:hint="default"/>
      </w:rPr>
    </w:lvl>
    <w:lvl w:ilvl="4" w:tplc="08130003" w:tentative="1">
      <w:start w:val="1"/>
      <w:numFmt w:val="bullet"/>
      <w:lvlText w:val="o"/>
      <w:lvlJc w:val="left"/>
      <w:pPr>
        <w:ind w:left="3840" w:hanging="360"/>
      </w:pPr>
      <w:rPr>
        <w:rFonts w:ascii="Courier New" w:hAnsi="Courier New" w:cs="Courier New" w:hint="default"/>
      </w:rPr>
    </w:lvl>
    <w:lvl w:ilvl="5" w:tplc="08130005" w:tentative="1">
      <w:start w:val="1"/>
      <w:numFmt w:val="bullet"/>
      <w:lvlText w:val=""/>
      <w:lvlJc w:val="left"/>
      <w:pPr>
        <w:ind w:left="4560" w:hanging="360"/>
      </w:pPr>
      <w:rPr>
        <w:rFonts w:ascii="Wingdings" w:hAnsi="Wingdings" w:hint="default"/>
      </w:rPr>
    </w:lvl>
    <w:lvl w:ilvl="6" w:tplc="08130001" w:tentative="1">
      <w:start w:val="1"/>
      <w:numFmt w:val="bullet"/>
      <w:lvlText w:val=""/>
      <w:lvlJc w:val="left"/>
      <w:pPr>
        <w:ind w:left="5280" w:hanging="360"/>
      </w:pPr>
      <w:rPr>
        <w:rFonts w:ascii="Symbol" w:hAnsi="Symbol" w:hint="default"/>
      </w:rPr>
    </w:lvl>
    <w:lvl w:ilvl="7" w:tplc="08130003" w:tentative="1">
      <w:start w:val="1"/>
      <w:numFmt w:val="bullet"/>
      <w:lvlText w:val="o"/>
      <w:lvlJc w:val="left"/>
      <w:pPr>
        <w:ind w:left="6000" w:hanging="360"/>
      </w:pPr>
      <w:rPr>
        <w:rFonts w:ascii="Courier New" w:hAnsi="Courier New" w:cs="Courier New" w:hint="default"/>
      </w:rPr>
    </w:lvl>
    <w:lvl w:ilvl="8" w:tplc="08130005" w:tentative="1">
      <w:start w:val="1"/>
      <w:numFmt w:val="bullet"/>
      <w:lvlText w:val=""/>
      <w:lvlJc w:val="left"/>
      <w:pPr>
        <w:ind w:left="6720" w:hanging="360"/>
      </w:pPr>
      <w:rPr>
        <w:rFonts w:ascii="Wingdings" w:hAnsi="Wingdings" w:hint="default"/>
      </w:rPr>
    </w:lvl>
  </w:abstractNum>
  <w:abstractNum w:abstractNumId="9" w15:restartNumberingAfterBreak="0">
    <w:nsid w:val="109148F7"/>
    <w:multiLevelType w:val="hybridMultilevel"/>
    <w:tmpl w:val="486269D8"/>
    <w:lvl w:ilvl="0" w:tplc="7B5AD2CA">
      <w:start w:val="7"/>
      <w:numFmt w:val="bullet"/>
      <w:lvlText w:val="-"/>
      <w:lvlJc w:val="left"/>
      <w:pPr>
        <w:tabs>
          <w:tab w:val="num" w:pos="454"/>
        </w:tabs>
        <w:ind w:left="454" w:hanging="454"/>
      </w:pPr>
      <w:rPr>
        <w:rFonts w:ascii="Arial" w:hAnsi="Arial" w:hint="default"/>
        <w:color w:val="auto"/>
      </w:rPr>
    </w:lvl>
    <w:lvl w:ilvl="1" w:tplc="DF22C4D4">
      <w:start w:val="1"/>
      <w:numFmt w:val="bullet"/>
      <w:lvlText w:val="o"/>
      <w:lvlJc w:val="left"/>
      <w:pPr>
        <w:tabs>
          <w:tab w:val="num" w:pos="1667"/>
        </w:tabs>
        <w:ind w:left="1667" w:hanging="360"/>
      </w:pPr>
      <w:rPr>
        <w:rFonts w:ascii="Courier New" w:hAnsi="Courier New" w:cs="Courier New" w:hint="default"/>
        <w:color w:val="auto"/>
        <w:lang w:val="fr-BE"/>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124B7D44"/>
    <w:multiLevelType w:val="hybridMultilevel"/>
    <w:tmpl w:val="CD224BCA"/>
    <w:lvl w:ilvl="0" w:tplc="7B5AD2CA">
      <w:start w:val="1"/>
      <w:numFmt w:val="bullet"/>
      <w:lvlText w:val="o"/>
      <w:lvlJc w:val="left"/>
      <w:pPr>
        <w:ind w:left="2027" w:hanging="360"/>
      </w:pPr>
      <w:rPr>
        <w:rFonts w:ascii="Courier New" w:hAnsi="Courier New" w:cs="Courier New" w:hint="default"/>
      </w:rPr>
    </w:lvl>
    <w:lvl w:ilvl="1" w:tplc="25A0F854" w:tentative="1">
      <w:start w:val="1"/>
      <w:numFmt w:val="bullet"/>
      <w:lvlText w:val="o"/>
      <w:lvlJc w:val="left"/>
      <w:pPr>
        <w:ind w:left="2747" w:hanging="360"/>
      </w:pPr>
      <w:rPr>
        <w:rFonts w:ascii="Courier New" w:hAnsi="Courier New" w:cs="Courier New" w:hint="default"/>
      </w:rPr>
    </w:lvl>
    <w:lvl w:ilvl="2" w:tplc="08090005" w:tentative="1">
      <w:start w:val="1"/>
      <w:numFmt w:val="bullet"/>
      <w:lvlText w:val=""/>
      <w:lvlJc w:val="left"/>
      <w:pPr>
        <w:ind w:left="3467" w:hanging="360"/>
      </w:pPr>
      <w:rPr>
        <w:rFonts w:ascii="Wingdings" w:hAnsi="Wingdings" w:hint="default"/>
      </w:rPr>
    </w:lvl>
    <w:lvl w:ilvl="3" w:tplc="08090001" w:tentative="1">
      <w:start w:val="1"/>
      <w:numFmt w:val="bullet"/>
      <w:lvlText w:val=""/>
      <w:lvlJc w:val="left"/>
      <w:pPr>
        <w:ind w:left="4187" w:hanging="360"/>
      </w:pPr>
      <w:rPr>
        <w:rFonts w:ascii="Symbol" w:hAnsi="Symbol" w:hint="default"/>
      </w:rPr>
    </w:lvl>
    <w:lvl w:ilvl="4" w:tplc="08090003" w:tentative="1">
      <w:start w:val="1"/>
      <w:numFmt w:val="bullet"/>
      <w:lvlText w:val="o"/>
      <w:lvlJc w:val="left"/>
      <w:pPr>
        <w:ind w:left="4907" w:hanging="360"/>
      </w:pPr>
      <w:rPr>
        <w:rFonts w:ascii="Courier New" w:hAnsi="Courier New" w:cs="Courier New" w:hint="default"/>
      </w:rPr>
    </w:lvl>
    <w:lvl w:ilvl="5" w:tplc="08090005" w:tentative="1">
      <w:start w:val="1"/>
      <w:numFmt w:val="bullet"/>
      <w:lvlText w:val=""/>
      <w:lvlJc w:val="left"/>
      <w:pPr>
        <w:ind w:left="5627" w:hanging="360"/>
      </w:pPr>
      <w:rPr>
        <w:rFonts w:ascii="Wingdings" w:hAnsi="Wingdings" w:hint="default"/>
      </w:rPr>
    </w:lvl>
    <w:lvl w:ilvl="6" w:tplc="08090001" w:tentative="1">
      <w:start w:val="1"/>
      <w:numFmt w:val="bullet"/>
      <w:lvlText w:val=""/>
      <w:lvlJc w:val="left"/>
      <w:pPr>
        <w:ind w:left="6347" w:hanging="360"/>
      </w:pPr>
      <w:rPr>
        <w:rFonts w:ascii="Symbol" w:hAnsi="Symbol" w:hint="default"/>
      </w:rPr>
    </w:lvl>
    <w:lvl w:ilvl="7" w:tplc="08090003" w:tentative="1">
      <w:start w:val="1"/>
      <w:numFmt w:val="bullet"/>
      <w:lvlText w:val="o"/>
      <w:lvlJc w:val="left"/>
      <w:pPr>
        <w:ind w:left="7067" w:hanging="360"/>
      </w:pPr>
      <w:rPr>
        <w:rFonts w:ascii="Courier New" w:hAnsi="Courier New" w:cs="Courier New" w:hint="default"/>
      </w:rPr>
    </w:lvl>
    <w:lvl w:ilvl="8" w:tplc="08090005" w:tentative="1">
      <w:start w:val="1"/>
      <w:numFmt w:val="bullet"/>
      <w:lvlText w:val=""/>
      <w:lvlJc w:val="left"/>
      <w:pPr>
        <w:ind w:left="7787" w:hanging="360"/>
      </w:pPr>
      <w:rPr>
        <w:rFonts w:ascii="Wingdings" w:hAnsi="Wingdings" w:hint="default"/>
      </w:rPr>
    </w:lvl>
  </w:abstractNum>
  <w:abstractNum w:abstractNumId="11" w15:restartNumberingAfterBreak="0">
    <w:nsid w:val="18C15301"/>
    <w:multiLevelType w:val="hybridMultilevel"/>
    <w:tmpl w:val="A9604D1E"/>
    <w:lvl w:ilvl="0" w:tplc="656EA6A2">
      <w:start w:val="1"/>
      <w:numFmt w:val="bullet"/>
      <w:pStyle w:val="Opsomming"/>
      <w:lvlText w:val=""/>
      <w:lvlJc w:val="left"/>
      <w:pPr>
        <w:tabs>
          <w:tab w:val="num" w:pos="643"/>
        </w:tabs>
        <w:ind w:left="643" w:hanging="360"/>
      </w:pPr>
      <w:rPr>
        <w:rFonts w:ascii="Symbol" w:hAnsi="Symbol" w:hint="default"/>
        <w:lang w:val="fr-BE"/>
      </w:rPr>
    </w:lvl>
    <w:lvl w:ilvl="1" w:tplc="04090003">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9680B"/>
    <w:multiLevelType w:val="hybridMultilevel"/>
    <w:tmpl w:val="47EED236"/>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8130003">
      <w:start w:val="1"/>
      <w:numFmt w:val="bullet"/>
      <w:lvlText w:val="o"/>
      <w:lvlJc w:val="left"/>
      <w:pPr>
        <w:tabs>
          <w:tab w:val="num" w:pos="1395"/>
        </w:tabs>
        <w:ind w:left="1395" w:hanging="360"/>
      </w:pPr>
      <w:rPr>
        <w:rFonts w:ascii="Courier New" w:hAnsi="Courier New" w:cs="Courier New"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3" w15:restartNumberingAfterBreak="0">
    <w:nsid w:val="1F8153DA"/>
    <w:multiLevelType w:val="hybridMultilevel"/>
    <w:tmpl w:val="505A0576"/>
    <w:lvl w:ilvl="0" w:tplc="7B5AD2CA">
      <w:start w:val="1"/>
      <w:numFmt w:val="bullet"/>
      <w:lvlText w:val="o"/>
      <w:lvlJc w:val="left"/>
      <w:pPr>
        <w:ind w:left="2280" w:hanging="360"/>
      </w:pPr>
      <w:rPr>
        <w:rFonts w:ascii="Courier New" w:hAnsi="Courier New" w:cs="Courier New" w:hint="default"/>
      </w:rPr>
    </w:lvl>
    <w:lvl w:ilvl="1" w:tplc="25A0F854"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 w15:restartNumberingAfterBreak="0">
    <w:nsid w:val="21520100"/>
    <w:multiLevelType w:val="hybridMultilevel"/>
    <w:tmpl w:val="C81C70AE"/>
    <w:lvl w:ilvl="0" w:tplc="055843EA">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27C2E89"/>
    <w:multiLevelType w:val="hybridMultilevel"/>
    <w:tmpl w:val="EBFCDC4A"/>
    <w:lvl w:ilvl="0" w:tplc="7B5AD2CA">
      <w:start w:val="1"/>
      <w:numFmt w:val="bullet"/>
      <w:lvlText w:val="o"/>
      <w:lvlJc w:val="left"/>
      <w:pPr>
        <w:ind w:left="2027" w:hanging="360"/>
      </w:pPr>
      <w:rPr>
        <w:rFonts w:ascii="Courier New" w:hAnsi="Courier New" w:cs="Courier New" w:hint="default"/>
      </w:rPr>
    </w:lvl>
    <w:lvl w:ilvl="1" w:tplc="25A0F854" w:tentative="1">
      <w:start w:val="1"/>
      <w:numFmt w:val="bullet"/>
      <w:lvlText w:val="o"/>
      <w:lvlJc w:val="left"/>
      <w:pPr>
        <w:ind w:left="2747" w:hanging="360"/>
      </w:pPr>
      <w:rPr>
        <w:rFonts w:ascii="Courier New" w:hAnsi="Courier New" w:cs="Courier New" w:hint="default"/>
      </w:rPr>
    </w:lvl>
    <w:lvl w:ilvl="2" w:tplc="08090005" w:tentative="1">
      <w:start w:val="1"/>
      <w:numFmt w:val="bullet"/>
      <w:lvlText w:val=""/>
      <w:lvlJc w:val="left"/>
      <w:pPr>
        <w:ind w:left="3467" w:hanging="360"/>
      </w:pPr>
      <w:rPr>
        <w:rFonts w:ascii="Wingdings" w:hAnsi="Wingdings" w:hint="default"/>
      </w:rPr>
    </w:lvl>
    <w:lvl w:ilvl="3" w:tplc="08090001" w:tentative="1">
      <w:start w:val="1"/>
      <w:numFmt w:val="bullet"/>
      <w:lvlText w:val=""/>
      <w:lvlJc w:val="left"/>
      <w:pPr>
        <w:ind w:left="4187" w:hanging="360"/>
      </w:pPr>
      <w:rPr>
        <w:rFonts w:ascii="Symbol" w:hAnsi="Symbol" w:hint="default"/>
      </w:rPr>
    </w:lvl>
    <w:lvl w:ilvl="4" w:tplc="08090003" w:tentative="1">
      <w:start w:val="1"/>
      <w:numFmt w:val="bullet"/>
      <w:lvlText w:val="o"/>
      <w:lvlJc w:val="left"/>
      <w:pPr>
        <w:ind w:left="4907" w:hanging="360"/>
      </w:pPr>
      <w:rPr>
        <w:rFonts w:ascii="Courier New" w:hAnsi="Courier New" w:cs="Courier New" w:hint="default"/>
      </w:rPr>
    </w:lvl>
    <w:lvl w:ilvl="5" w:tplc="08090005" w:tentative="1">
      <w:start w:val="1"/>
      <w:numFmt w:val="bullet"/>
      <w:lvlText w:val=""/>
      <w:lvlJc w:val="left"/>
      <w:pPr>
        <w:ind w:left="5627" w:hanging="360"/>
      </w:pPr>
      <w:rPr>
        <w:rFonts w:ascii="Wingdings" w:hAnsi="Wingdings" w:hint="default"/>
      </w:rPr>
    </w:lvl>
    <w:lvl w:ilvl="6" w:tplc="08090001" w:tentative="1">
      <w:start w:val="1"/>
      <w:numFmt w:val="bullet"/>
      <w:lvlText w:val=""/>
      <w:lvlJc w:val="left"/>
      <w:pPr>
        <w:ind w:left="6347" w:hanging="360"/>
      </w:pPr>
      <w:rPr>
        <w:rFonts w:ascii="Symbol" w:hAnsi="Symbol" w:hint="default"/>
      </w:rPr>
    </w:lvl>
    <w:lvl w:ilvl="7" w:tplc="08090003" w:tentative="1">
      <w:start w:val="1"/>
      <w:numFmt w:val="bullet"/>
      <w:lvlText w:val="o"/>
      <w:lvlJc w:val="left"/>
      <w:pPr>
        <w:ind w:left="7067" w:hanging="360"/>
      </w:pPr>
      <w:rPr>
        <w:rFonts w:ascii="Courier New" w:hAnsi="Courier New" w:cs="Courier New" w:hint="default"/>
      </w:rPr>
    </w:lvl>
    <w:lvl w:ilvl="8" w:tplc="08090005" w:tentative="1">
      <w:start w:val="1"/>
      <w:numFmt w:val="bullet"/>
      <w:lvlText w:val=""/>
      <w:lvlJc w:val="left"/>
      <w:pPr>
        <w:ind w:left="7787" w:hanging="360"/>
      </w:pPr>
      <w:rPr>
        <w:rFonts w:ascii="Wingdings" w:hAnsi="Wingdings" w:hint="default"/>
      </w:rPr>
    </w:lvl>
  </w:abstractNum>
  <w:abstractNum w:abstractNumId="16" w15:restartNumberingAfterBreak="0">
    <w:nsid w:val="283C4DD0"/>
    <w:multiLevelType w:val="hybridMultilevel"/>
    <w:tmpl w:val="B460522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EB47B2B"/>
    <w:multiLevelType w:val="hybridMultilevel"/>
    <w:tmpl w:val="248ED862"/>
    <w:lvl w:ilvl="0" w:tplc="04090001">
      <w:start w:val="1"/>
      <w:numFmt w:val="bullet"/>
      <w:pStyle w:val="toelichtingvraaginsprong2"/>
      <w:lvlText w:val=""/>
      <w:lvlJc w:val="left"/>
      <w:pPr>
        <w:tabs>
          <w:tab w:val="num" w:pos="2484"/>
        </w:tabs>
        <w:ind w:left="248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2F587CE8"/>
    <w:multiLevelType w:val="hybridMultilevel"/>
    <w:tmpl w:val="AC50EB4A"/>
    <w:lvl w:ilvl="0" w:tplc="F902741E">
      <w:start w:val="1"/>
      <w:numFmt w:val="bullet"/>
      <w:pStyle w:val="insprong2bolleke"/>
      <w:lvlText w:val="o"/>
      <w:lvlJc w:val="left"/>
      <w:pPr>
        <w:tabs>
          <w:tab w:val="num" w:pos="1777"/>
        </w:tabs>
        <w:ind w:left="1777" w:hanging="360"/>
      </w:pPr>
      <w:rPr>
        <w:rFonts w:ascii="Courier New" w:hAnsi="Courier New" w:cs="Courier New"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start w:val="1"/>
      <w:numFmt w:val="bullet"/>
      <w:lvlText w:val=""/>
      <w:lvlJc w:val="left"/>
      <w:pPr>
        <w:tabs>
          <w:tab w:val="num" w:pos="3153"/>
        </w:tabs>
        <w:ind w:left="3153" w:hanging="360"/>
      </w:pPr>
      <w:rPr>
        <w:rFonts w:ascii="Symbol" w:hAnsi="Symbol"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32A762E6"/>
    <w:multiLevelType w:val="hybridMultilevel"/>
    <w:tmpl w:val="179297C0"/>
    <w:lvl w:ilvl="0" w:tplc="2DF21CD4">
      <w:numFmt w:val="bullet"/>
      <w:pStyle w:val="Opsomming1"/>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F3087"/>
    <w:multiLevelType w:val="multilevel"/>
    <w:tmpl w:val="2754265E"/>
    <w:lvl w:ilvl="0">
      <w:start w:val="3"/>
      <w:numFmt w:val="decimal"/>
      <w:pStyle w:val="Kop1"/>
      <w:suff w:val="nothing"/>
      <w:lvlText w:val="%1"/>
      <w:lvlJc w:val="left"/>
      <w:pPr>
        <w:ind w:left="8796"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9651"/>
        </w:tabs>
        <w:ind w:left="9651" w:hanging="720"/>
      </w:pPr>
      <w:rPr>
        <w:rFonts w:hint="default"/>
      </w:rPr>
    </w:lvl>
    <w:lvl w:ilvl="3">
      <w:start w:val="1"/>
      <w:numFmt w:val="none"/>
      <w:pStyle w:val="Kop4"/>
      <w:lvlText w:val="%1.%2.%3.%4"/>
      <w:lvlJc w:val="left"/>
      <w:pPr>
        <w:tabs>
          <w:tab w:val="num" w:pos="9795"/>
        </w:tabs>
        <w:ind w:left="9795" w:hanging="864"/>
      </w:pPr>
      <w:rPr>
        <w:rFonts w:hint="default"/>
      </w:rPr>
    </w:lvl>
    <w:lvl w:ilvl="4">
      <w:start w:val="1"/>
      <w:numFmt w:val="decimal"/>
      <w:pStyle w:val="Kop5"/>
      <w:lvlText w:val="%1.%2.%3.%4.%5"/>
      <w:lvlJc w:val="left"/>
      <w:pPr>
        <w:tabs>
          <w:tab w:val="num" w:pos="9939"/>
        </w:tabs>
        <w:ind w:left="9939" w:hanging="1008"/>
      </w:pPr>
      <w:rPr>
        <w:rFonts w:hint="default"/>
      </w:rPr>
    </w:lvl>
    <w:lvl w:ilvl="5">
      <w:start w:val="1"/>
      <w:numFmt w:val="decimal"/>
      <w:pStyle w:val="Kop6"/>
      <w:lvlText w:val="%1.%2.%3.%4.%5.%6"/>
      <w:lvlJc w:val="left"/>
      <w:pPr>
        <w:tabs>
          <w:tab w:val="num" w:pos="10083"/>
        </w:tabs>
        <w:ind w:left="10083" w:hanging="1152"/>
      </w:pPr>
      <w:rPr>
        <w:rFonts w:hint="default"/>
      </w:rPr>
    </w:lvl>
    <w:lvl w:ilvl="6">
      <w:start w:val="1"/>
      <w:numFmt w:val="decimal"/>
      <w:pStyle w:val="Kop7"/>
      <w:lvlText w:val="%1.%2.%3.%4.%5.%6.%7"/>
      <w:lvlJc w:val="left"/>
      <w:pPr>
        <w:tabs>
          <w:tab w:val="num" w:pos="10227"/>
        </w:tabs>
        <w:ind w:left="10227" w:hanging="1296"/>
      </w:pPr>
      <w:rPr>
        <w:rFonts w:hint="default"/>
      </w:rPr>
    </w:lvl>
    <w:lvl w:ilvl="7">
      <w:start w:val="1"/>
      <w:numFmt w:val="decimal"/>
      <w:pStyle w:val="Kop8"/>
      <w:lvlText w:val="%1.%2.%3.%4.%5.%6.%7.%8"/>
      <w:lvlJc w:val="left"/>
      <w:pPr>
        <w:tabs>
          <w:tab w:val="num" w:pos="10371"/>
        </w:tabs>
        <w:ind w:left="10371" w:hanging="1440"/>
      </w:pPr>
      <w:rPr>
        <w:rFonts w:hint="default"/>
      </w:rPr>
    </w:lvl>
    <w:lvl w:ilvl="8">
      <w:start w:val="1"/>
      <w:numFmt w:val="decimal"/>
      <w:pStyle w:val="Kop9"/>
      <w:lvlText w:val="%1.%2.%3.%4.%5.%6.%7.%8.%9"/>
      <w:lvlJc w:val="left"/>
      <w:pPr>
        <w:tabs>
          <w:tab w:val="num" w:pos="10515"/>
        </w:tabs>
        <w:ind w:left="10515" w:hanging="1584"/>
      </w:pPr>
      <w:rPr>
        <w:rFonts w:hint="default"/>
      </w:rPr>
    </w:lvl>
  </w:abstractNum>
  <w:abstractNum w:abstractNumId="21" w15:restartNumberingAfterBreak="0">
    <w:nsid w:val="3D3A1E55"/>
    <w:multiLevelType w:val="hybridMultilevel"/>
    <w:tmpl w:val="991C6CD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3E0453A0"/>
    <w:multiLevelType w:val="hybridMultilevel"/>
    <w:tmpl w:val="A03CC484"/>
    <w:lvl w:ilvl="0" w:tplc="B22004A6">
      <w:start w:val="1"/>
      <w:numFmt w:val="lowerLetter"/>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3" w15:restartNumberingAfterBreak="0">
    <w:nsid w:val="40F114B1"/>
    <w:multiLevelType w:val="hybridMultilevel"/>
    <w:tmpl w:val="13DA085A"/>
    <w:lvl w:ilvl="0" w:tplc="25A0F8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15"/>
        </w:tabs>
        <w:ind w:left="315" w:hanging="360"/>
      </w:pPr>
      <w:rPr>
        <w:rFonts w:ascii="Courier New" w:hAnsi="Courier New" w:cs="Courier New" w:hint="default"/>
      </w:rPr>
    </w:lvl>
    <w:lvl w:ilvl="2" w:tplc="04090005" w:tentative="1">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24" w15:restartNumberingAfterBreak="0">
    <w:nsid w:val="411B6B44"/>
    <w:multiLevelType w:val="hybridMultilevel"/>
    <w:tmpl w:val="B6F207A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15:restartNumberingAfterBreak="0">
    <w:nsid w:val="42AA38D0"/>
    <w:multiLevelType w:val="hybridMultilevel"/>
    <w:tmpl w:val="990038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43C94B52"/>
    <w:multiLevelType w:val="hybridMultilevel"/>
    <w:tmpl w:val="77B2436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43F41DE5"/>
    <w:multiLevelType w:val="hybridMultilevel"/>
    <w:tmpl w:val="2FC64F88"/>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467F318A"/>
    <w:multiLevelType w:val="hybridMultilevel"/>
    <w:tmpl w:val="8D2A1D4C"/>
    <w:lvl w:ilvl="0" w:tplc="C5CC96AA">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49E46C95"/>
    <w:multiLevelType w:val="hybridMultilevel"/>
    <w:tmpl w:val="A7A4D63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4BC0516B"/>
    <w:multiLevelType w:val="hybridMultilevel"/>
    <w:tmpl w:val="0EE6DF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7104994"/>
    <w:multiLevelType w:val="hybridMultilevel"/>
    <w:tmpl w:val="CD48F4B2"/>
    <w:lvl w:ilvl="0" w:tplc="0813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588E008B"/>
    <w:multiLevelType w:val="hybridMultilevel"/>
    <w:tmpl w:val="F414670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2CA2F57"/>
    <w:multiLevelType w:val="hybridMultilevel"/>
    <w:tmpl w:val="9E80113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631442BC"/>
    <w:multiLevelType w:val="hybridMultilevel"/>
    <w:tmpl w:val="06DC9070"/>
    <w:lvl w:ilvl="0" w:tplc="04090001">
      <w:start w:val="2"/>
      <w:numFmt w:val="bullet"/>
      <w:pStyle w:val="Maatregel"/>
      <w:lvlText w:val="-"/>
      <w:lvlJc w:val="left"/>
      <w:pPr>
        <w:tabs>
          <w:tab w:val="num" w:pos="454"/>
        </w:tabs>
        <w:ind w:left="454" w:hanging="45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77C8A"/>
    <w:multiLevelType w:val="singleLevel"/>
    <w:tmpl w:val="025A9DE2"/>
    <w:lvl w:ilvl="0">
      <w:start w:val="1"/>
      <w:numFmt w:val="decimal"/>
      <w:lvlText w:val="[%1]"/>
      <w:lvlJc w:val="right"/>
      <w:pPr>
        <w:tabs>
          <w:tab w:val="num" w:pos="0"/>
        </w:tabs>
        <w:ind w:left="0" w:firstLine="0"/>
      </w:pPr>
      <w:rPr>
        <w:rFonts w:ascii="Verdana" w:hAnsi="Verdana" w:hint="default"/>
        <w:b w:val="0"/>
        <w:i w:val="0"/>
        <w:strike w:val="0"/>
        <w:sz w:val="20"/>
        <w:szCs w:val="20"/>
        <w:u w:val="none"/>
      </w:rPr>
    </w:lvl>
  </w:abstractNum>
  <w:abstractNum w:abstractNumId="36" w15:restartNumberingAfterBreak="0">
    <w:nsid w:val="6CD20D2F"/>
    <w:multiLevelType w:val="hybridMultilevel"/>
    <w:tmpl w:val="ED22AFA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2951ECE"/>
    <w:multiLevelType w:val="hybridMultilevel"/>
    <w:tmpl w:val="9202EC7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254AA4"/>
    <w:multiLevelType w:val="hybridMultilevel"/>
    <w:tmpl w:val="7A545C7A"/>
    <w:lvl w:ilvl="0" w:tplc="DEFE7406">
      <w:start w:val="1"/>
      <w:numFmt w:val="bullet"/>
      <w:lvlText w:val=""/>
      <w:lvlJc w:val="left"/>
      <w:pPr>
        <w:tabs>
          <w:tab w:val="num" w:pos="454"/>
        </w:tabs>
        <w:ind w:left="454" w:hanging="454"/>
      </w:pPr>
      <w:rPr>
        <w:rFonts w:ascii="Symbol" w:hAnsi="Symbol" w:hint="default"/>
      </w:rPr>
    </w:lvl>
    <w:lvl w:ilvl="1" w:tplc="15D4D23C">
      <w:start w:val="1"/>
      <w:numFmt w:val="bullet"/>
      <w:pStyle w:val="Opsommingsteken2"/>
      <w:lvlText w:val="o"/>
      <w:lvlJc w:val="left"/>
      <w:pPr>
        <w:tabs>
          <w:tab w:val="num" w:pos="1440"/>
        </w:tabs>
        <w:ind w:left="1440" w:hanging="360"/>
      </w:pPr>
      <w:rPr>
        <w:rFonts w:ascii="Courier New" w:hAnsi="Courier New" w:cs="Courier New" w:hint="default"/>
      </w:rPr>
    </w:lvl>
    <w:lvl w:ilvl="2" w:tplc="D98EB880" w:tentative="1">
      <w:start w:val="1"/>
      <w:numFmt w:val="bullet"/>
      <w:lvlText w:val=""/>
      <w:lvlJc w:val="left"/>
      <w:pPr>
        <w:tabs>
          <w:tab w:val="num" w:pos="2160"/>
        </w:tabs>
        <w:ind w:left="2160" w:hanging="360"/>
      </w:pPr>
      <w:rPr>
        <w:rFonts w:ascii="Wingdings" w:hAnsi="Wingdings" w:hint="default"/>
      </w:rPr>
    </w:lvl>
    <w:lvl w:ilvl="3" w:tplc="998027D0" w:tentative="1">
      <w:start w:val="1"/>
      <w:numFmt w:val="bullet"/>
      <w:lvlText w:val=""/>
      <w:lvlJc w:val="left"/>
      <w:pPr>
        <w:tabs>
          <w:tab w:val="num" w:pos="2880"/>
        </w:tabs>
        <w:ind w:left="2880" w:hanging="360"/>
      </w:pPr>
      <w:rPr>
        <w:rFonts w:ascii="Symbol" w:hAnsi="Symbol" w:hint="default"/>
      </w:rPr>
    </w:lvl>
    <w:lvl w:ilvl="4" w:tplc="B4047404" w:tentative="1">
      <w:start w:val="1"/>
      <w:numFmt w:val="bullet"/>
      <w:lvlText w:val="o"/>
      <w:lvlJc w:val="left"/>
      <w:pPr>
        <w:tabs>
          <w:tab w:val="num" w:pos="3600"/>
        </w:tabs>
        <w:ind w:left="3600" w:hanging="360"/>
      </w:pPr>
      <w:rPr>
        <w:rFonts w:ascii="Courier New" w:hAnsi="Courier New" w:cs="Courier New" w:hint="default"/>
      </w:rPr>
    </w:lvl>
    <w:lvl w:ilvl="5" w:tplc="32CAFC02">
      <w:start w:val="1"/>
      <w:numFmt w:val="bullet"/>
      <w:lvlText w:val=""/>
      <w:lvlJc w:val="left"/>
      <w:pPr>
        <w:tabs>
          <w:tab w:val="num" w:pos="4320"/>
        </w:tabs>
        <w:ind w:left="4320" w:hanging="360"/>
      </w:pPr>
      <w:rPr>
        <w:rFonts w:ascii="Wingdings" w:hAnsi="Wingdings" w:hint="default"/>
      </w:rPr>
    </w:lvl>
    <w:lvl w:ilvl="6" w:tplc="9208CA52" w:tentative="1">
      <w:start w:val="1"/>
      <w:numFmt w:val="bullet"/>
      <w:lvlText w:val=""/>
      <w:lvlJc w:val="left"/>
      <w:pPr>
        <w:tabs>
          <w:tab w:val="num" w:pos="5040"/>
        </w:tabs>
        <w:ind w:left="5040" w:hanging="360"/>
      </w:pPr>
      <w:rPr>
        <w:rFonts w:ascii="Symbol" w:hAnsi="Symbol" w:hint="default"/>
      </w:rPr>
    </w:lvl>
    <w:lvl w:ilvl="7" w:tplc="445C0D98" w:tentative="1">
      <w:start w:val="1"/>
      <w:numFmt w:val="bullet"/>
      <w:lvlText w:val="o"/>
      <w:lvlJc w:val="left"/>
      <w:pPr>
        <w:tabs>
          <w:tab w:val="num" w:pos="5760"/>
        </w:tabs>
        <w:ind w:left="5760" w:hanging="360"/>
      </w:pPr>
      <w:rPr>
        <w:rFonts w:ascii="Courier New" w:hAnsi="Courier New" w:cs="Courier New" w:hint="default"/>
      </w:rPr>
    </w:lvl>
    <w:lvl w:ilvl="8" w:tplc="CAC6AFA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41746"/>
    <w:multiLevelType w:val="hybridMultilevel"/>
    <w:tmpl w:val="3C084E98"/>
    <w:lvl w:ilvl="0" w:tplc="04090001">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15:restartNumberingAfterBreak="0">
    <w:nsid w:val="7C45368E"/>
    <w:multiLevelType w:val="hybridMultilevel"/>
    <w:tmpl w:val="BC848AC2"/>
    <w:lvl w:ilvl="0" w:tplc="04090003">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849"/>
        </w:tabs>
        <w:ind w:left="3849" w:hanging="360"/>
      </w:pPr>
      <w:rPr>
        <w:rFonts w:ascii="Courier New" w:hAnsi="Courier New" w:cs="Courier New" w:hint="default"/>
      </w:rPr>
    </w:lvl>
    <w:lvl w:ilvl="2" w:tplc="04090005">
      <w:start w:val="1"/>
      <w:numFmt w:val="bullet"/>
      <w:lvlText w:val=""/>
      <w:lvlJc w:val="left"/>
      <w:pPr>
        <w:tabs>
          <w:tab w:val="num" w:pos="4569"/>
        </w:tabs>
        <w:ind w:left="4569" w:hanging="360"/>
      </w:pPr>
      <w:rPr>
        <w:rFonts w:ascii="Symbol" w:hAnsi="Symbol" w:hint="default"/>
      </w:rPr>
    </w:lvl>
    <w:lvl w:ilvl="3" w:tplc="04090001" w:tentative="1">
      <w:start w:val="1"/>
      <w:numFmt w:val="bullet"/>
      <w:lvlText w:val=""/>
      <w:lvlJc w:val="left"/>
      <w:pPr>
        <w:tabs>
          <w:tab w:val="num" w:pos="5289"/>
        </w:tabs>
        <w:ind w:left="5289" w:hanging="360"/>
      </w:pPr>
      <w:rPr>
        <w:rFonts w:ascii="Symbol" w:hAnsi="Symbol" w:hint="default"/>
      </w:rPr>
    </w:lvl>
    <w:lvl w:ilvl="4" w:tplc="04090003" w:tentative="1">
      <w:start w:val="1"/>
      <w:numFmt w:val="bullet"/>
      <w:lvlText w:val="o"/>
      <w:lvlJc w:val="left"/>
      <w:pPr>
        <w:tabs>
          <w:tab w:val="num" w:pos="6009"/>
        </w:tabs>
        <w:ind w:left="6009" w:hanging="360"/>
      </w:pPr>
      <w:rPr>
        <w:rFonts w:ascii="Courier New" w:hAnsi="Courier New" w:cs="Courier New" w:hint="default"/>
      </w:rPr>
    </w:lvl>
    <w:lvl w:ilvl="5" w:tplc="04090005" w:tentative="1">
      <w:start w:val="1"/>
      <w:numFmt w:val="bullet"/>
      <w:lvlText w:val=""/>
      <w:lvlJc w:val="left"/>
      <w:pPr>
        <w:tabs>
          <w:tab w:val="num" w:pos="6729"/>
        </w:tabs>
        <w:ind w:left="6729" w:hanging="360"/>
      </w:pPr>
      <w:rPr>
        <w:rFonts w:ascii="Wingdings" w:hAnsi="Wingdings" w:hint="default"/>
      </w:rPr>
    </w:lvl>
    <w:lvl w:ilvl="6" w:tplc="04090001" w:tentative="1">
      <w:start w:val="1"/>
      <w:numFmt w:val="bullet"/>
      <w:lvlText w:val=""/>
      <w:lvlJc w:val="left"/>
      <w:pPr>
        <w:tabs>
          <w:tab w:val="num" w:pos="7449"/>
        </w:tabs>
        <w:ind w:left="7449" w:hanging="360"/>
      </w:pPr>
      <w:rPr>
        <w:rFonts w:ascii="Symbol" w:hAnsi="Symbol" w:hint="default"/>
      </w:rPr>
    </w:lvl>
    <w:lvl w:ilvl="7" w:tplc="04090003" w:tentative="1">
      <w:start w:val="1"/>
      <w:numFmt w:val="bullet"/>
      <w:lvlText w:val="o"/>
      <w:lvlJc w:val="left"/>
      <w:pPr>
        <w:tabs>
          <w:tab w:val="num" w:pos="8169"/>
        </w:tabs>
        <w:ind w:left="8169" w:hanging="360"/>
      </w:pPr>
      <w:rPr>
        <w:rFonts w:ascii="Courier New" w:hAnsi="Courier New" w:cs="Courier New" w:hint="default"/>
      </w:rPr>
    </w:lvl>
    <w:lvl w:ilvl="8" w:tplc="04090005" w:tentative="1">
      <w:start w:val="1"/>
      <w:numFmt w:val="bullet"/>
      <w:lvlText w:val=""/>
      <w:lvlJc w:val="left"/>
      <w:pPr>
        <w:tabs>
          <w:tab w:val="num" w:pos="8889"/>
        </w:tabs>
        <w:ind w:left="8889" w:hanging="360"/>
      </w:pPr>
      <w:rPr>
        <w:rFonts w:ascii="Wingdings" w:hAnsi="Wingdings" w:hint="default"/>
      </w:rPr>
    </w:lvl>
  </w:abstractNum>
  <w:abstractNum w:abstractNumId="41" w15:restartNumberingAfterBreak="0">
    <w:nsid w:val="7F855E1B"/>
    <w:multiLevelType w:val="hybridMultilevel"/>
    <w:tmpl w:val="BC36144C"/>
    <w:lvl w:ilvl="0" w:tplc="01D6C4C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2" w15:restartNumberingAfterBreak="0">
    <w:nsid w:val="7FBF12FF"/>
    <w:multiLevelType w:val="hybridMultilevel"/>
    <w:tmpl w:val="E892EFB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20"/>
  </w:num>
  <w:num w:numId="2">
    <w:abstractNumId w:val="3"/>
  </w:num>
  <w:num w:numId="3">
    <w:abstractNumId w:val="34"/>
  </w:num>
  <w:num w:numId="4">
    <w:abstractNumId w:val="23"/>
  </w:num>
  <w:num w:numId="5">
    <w:abstractNumId w:val="12"/>
  </w:num>
  <w:num w:numId="6">
    <w:abstractNumId w:val="18"/>
  </w:num>
  <w:num w:numId="7">
    <w:abstractNumId w:val="11"/>
  </w:num>
  <w:num w:numId="8">
    <w:abstractNumId w:val="40"/>
  </w:num>
  <w:num w:numId="9">
    <w:abstractNumId w:val="35"/>
    <w:lvlOverride w:ilvl="0">
      <w:lvl w:ilvl="0">
        <w:start w:val="1"/>
        <w:numFmt w:val="decimal"/>
        <w:lvlText w:val="[%1] "/>
        <w:lvlJc w:val="right"/>
        <w:pPr>
          <w:tabs>
            <w:tab w:val="num" w:pos="180"/>
          </w:tabs>
          <w:ind w:left="690" w:hanging="510"/>
        </w:pPr>
        <w:rPr>
          <w:rFonts w:ascii="Verdana" w:hAnsi="Verdana" w:hint="default"/>
          <w:b w:val="0"/>
          <w:i w:val="0"/>
          <w:strike w:val="0"/>
          <w:u w:val="none"/>
        </w:rPr>
      </w:lvl>
    </w:lvlOverride>
  </w:num>
  <w:num w:numId="10">
    <w:abstractNumId w:val="17"/>
  </w:num>
  <w:num w:numId="11">
    <w:abstractNumId w:val="33"/>
  </w:num>
  <w:num w:numId="12">
    <w:abstractNumId w:val="31"/>
  </w:num>
  <w:num w:numId="13">
    <w:abstractNumId w:val="15"/>
  </w:num>
  <w:num w:numId="14">
    <w:abstractNumId w:val="13"/>
  </w:num>
  <w:num w:numId="15">
    <w:abstractNumId w:val="24"/>
  </w:num>
  <w:num w:numId="16">
    <w:abstractNumId w:val="0"/>
  </w:num>
  <w:num w:numId="17">
    <w:abstractNumId w:val="38"/>
  </w:num>
  <w:num w:numId="18">
    <w:abstractNumId w:val="19"/>
  </w:num>
  <w:num w:numId="19">
    <w:abstractNumId w:val="10"/>
  </w:num>
  <w:num w:numId="20">
    <w:abstractNumId w:val="2"/>
  </w:num>
  <w:num w:numId="21">
    <w:abstractNumId w:val="39"/>
  </w:num>
  <w:num w:numId="22">
    <w:abstractNumId w:val="16"/>
  </w:num>
  <w:num w:numId="23">
    <w:abstractNumId w:val="9"/>
  </w:num>
  <w:num w:numId="24">
    <w:abstractNumId w:val="8"/>
  </w:num>
  <w:num w:numId="25">
    <w:abstractNumId w:val="41"/>
  </w:num>
  <w:num w:numId="26">
    <w:abstractNumId w:val="4"/>
  </w:num>
  <w:num w:numId="27">
    <w:abstractNumId w:val="28"/>
  </w:num>
  <w:num w:numId="28">
    <w:abstractNumId w:val="5"/>
  </w:num>
  <w:num w:numId="29">
    <w:abstractNumId w:val="7"/>
  </w:num>
  <w:num w:numId="30">
    <w:abstractNumId w:val="29"/>
  </w:num>
  <w:num w:numId="31">
    <w:abstractNumId w:val="42"/>
  </w:num>
  <w:num w:numId="32">
    <w:abstractNumId w:val="1"/>
  </w:num>
  <w:num w:numId="33">
    <w:abstractNumId w:val="36"/>
  </w:num>
  <w:num w:numId="34">
    <w:abstractNumId w:val="30"/>
  </w:num>
  <w:num w:numId="35">
    <w:abstractNumId w:val="32"/>
  </w:num>
  <w:num w:numId="36">
    <w:abstractNumId w:val="6"/>
  </w:num>
  <w:num w:numId="37">
    <w:abstractNumId w:val="27"/>
  </w:num>
  <w:num w:numId="38">
    <w:abstractNumId w:val="22"/>
  </w:num>
  <w:num w:numId="39">
    <w:abstractNumId w:val="25"/>
  </w:num>
  <w:num w:numId="40">
    <w:abstractNumId w:val="26"/>
  </w:num>
  <w:num w:numId="41">
    <w:abstractNumId w:val="21"/>
  </w:num>
  <w:num w:numId="42">
    <w:abstractNumId w:val="37"/>
  </w:num>
  <w:num w:numId="43">
    <w:abstractNumId w:val="9"/>
  </w:num>
  <w:num w:numId="44">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C6D"/>
    <w:rsid w:val="000013A3"/>
    <w:rsid w:val="00001E88"/>
    <w:rsid w:val="00001F0D"/>
    <w:rsid w:val="00001F5B"/>
    <w:rsid w:val="00002098"/>
    <w:rsid w:val="00002941"/>
    <w:rsid w:val="00002B98"/>
    <w:rsid w:val="00003252"/>
    <w:rsid w:val="0000333E"/>
    <w:rsid w:val="00004050"/>
    <w:rsid w:val="0000426A"/>
    <w:rsid w:val="00004497"/>
    <w:rsid w:val="000049D7"/>
    <w:rsid w:val="00004C3C"/>
    <w:rsid w:val="000050D2"/>
    <w:rsid w:val="0000511F"/>
    <w:rsid w:val="000051B6"/>
    <w:rsid w:val="000057BA"/>
    <w:rsid w:val="00005802"/>
    <w:rsid w:val="00005AAD"/>
    <w:rsid w:val="00005ACA"/>
    <w:rsid w:val="00005F50"/>
    <w:rsid w:val="00006043"/>
    <w:rsid w:val="0000614A"/>
    <w:rsid w:val="0000616D"/>
    <w:rsid w:val="00006395"/>
    <w:rsid w:val="00006A4A"/>
    <w:rsid w:val="00007808"/>
    <w:rsid w:val="00007A96"/>
    <w:rsid w:val="00007E5B"/>
    <w:rsid w:val="00007ECF"/>
    <w:rsid w:val="00010B67"/>
    <w:rsid w:val="00010B95"/>
    <w:rsid w:val="000112BD"/>
    <w:rsid w:val="00011EB2"/>
    <w:rsid w:val="0001212E"/>
    <w:rsid w:val="0001249B"/>
    <w:rsid w:val="00012CE5"/>
    <w:rsid w:val="00013197"/>
    <w:rsid w:val="00013610"/>
    <w:rsid w:val="000139ED"/>
    <w:rsid w:val="0001432E"/>
    <w:rsid w:val="00014450"/>
    <w:rsid w:val="00014CC1"/>
    <w:rsid w:val="00014D5C"/>
    <w:rsid w:val="00014E53"/>
    <w:rsid w:val="000165AE"/>
    <w:rsid w:val="000165DC"/>
    <w:rsid w:val="00017501"/>
    <w:rsid w:val="00017707"/>
    <w:rsid w:val="000206B3"/>
    <w:rsid w:val="0002094C"/>
    <w:rsid w:val="0002095D"/>
    <w:rsid w:val="00020AD4"/>
    <w:rsid w:val="000218FA"/>
    <w:rsid w:val="00021A0D"/>
    <w:rsid w:val="00022A79"/>
    <w:rsid w:val="00022B2B"/>
    <w:rsid w:val="00023424"/>
    <w:rsid w:val="00023B5B"/>
    <w:rsid w:val="00024D47"/>
    <w:rsid w:val="00025117"/>
    <w:rsid w:val="00025CEC"/>
    <w:rsid w:val="00025FE8"/>
    <w:rsid w:val="00026096"/>
    <w:rsid w:val="000265C5"/>
    <w:rsid w:val="00026C15"/>
    <w:rsid w:val="00027800"/>
    <w:rsid w:val="0002785C"/>
    <w:rsid w:val="000278B8"/>
    <w:rsid w:val="000278F7"/>
    <w:rsid w:val="00027DC3"/>
    <w:rsid w:val="000302ED"/>
    <w:rsid w:val="000306D4"/>
    <w:rsid w:val="000310E2"/>
    <w:rsid w:val="00031199"/>
    <w:rsid w:val="00031AA9"/>
    <w:rsid w:val="00031CD5"/>
    <w:rsid w:val="00032991"/>
    <w:rsid w:val="00033465"/>
    <w:rsid w:val="00033BB5"/>
    <w:rsid w:val="00033CB2"/>
    <w:rsid w:val="00033CB8"/>
    <w:rsid w:val="00033CF3"/>
    <w:rsid w:val="000344A1"/>
    <w:rsid w:val="00034621"/>
    <w:rsid w:val="00034639"/>
    <w:rsid w:val="000346D1"/>
    <w:rsid w:val="00034793"/>
    <w:rsid w:val="00034809"/>
    <w:rsid w:val="00034A79"/>
    <w:rsid w:val="0003531F"/>
    <w:rsid w:val="00035342"/>
    <w:rsid w:val="00036218"/>
    <w:rsid w:val="000364D6"/>
    <w:rsid w:val="000371CF"/>
    <w:rsid w:val="0004069E"/>
    <w:rsid w:val="00040F54"/>
    <w:rsid w:val="00041B1F"/>
    <w:rsid w:val="00041DA4"/>
    <w:rsid w:val="00042119"/>
    <w:rsid w:val="00042396"/>
    <w:rsid w:val="00043249"/>
    <w:rsid w:val="0004381B"/>
    <w:rsid w:val="00043B06"/>
    <w:rsid w:val="000440AC"/>
    <w:rsid w:val="00044481"/>
    <w:rsid w:val="0004462A"/>
    <w:rsid w:val="00044C1B"/>
    <w:rsid w:val="00044C34"/>
    <w:rsid w:val="00045551"/>
    <w:rsid w:val="00045566"/>
    <w:rsid w:val="00045D7B"/>
    <w:rsid w:val="00046E7A"/>
    <w:rsid w:val="00047C7D"/>
    <w:rsid w:val="00050959"/>
    <w:rsid w:val="00050ACF"/>
    <w:rsid w:val="0005110C"/>
    <w:rsid w:val="00051AB7"/>
    <w:rsid w:val="00051B18"/>
    <w:rsid w:val="00051F73"/>
    <w:rsid w:val="0005318A"/>
    <w:rsid w:val="000538CF"/>
    <w:rsid w:val="00053D70"/>
    <w:rsid w:val="00054332"/>
    <w:rsid w:val="000543BD"/>
    <w:rsid w:val="00054B8B"/>
    <w:rsid w:val="0005590B"/>
    <w:rsid w:val="00055AF1"/>
    <w:rsid w:val="00055E39"/>
    <w:rsid w:val="00055F5A"/>
    <w:rsid w:val="0005672A"/>
    <w:rsid w:val="00056AD2"/>
    <w:rsid w:val="00056C3A"/>
    <w:rsid w:val="00056EBC"/>
    <w:rsid w:val="00057097"/>
    <w:rsid w:val="000570AA"/>
    <w:rsid w:val="0005762C"/>
    <w:rsid w:val="00057B57"/>
    <w:rsid w:val="00057FA7"/>
    <w:rsid w:val="0006011B"/>
    <w:rsid w:val="00060AFE"/>
    <w:rsid w:val="000610C7"/>
    <w:rsid w:val="0006185E"/>
    <w:rsid w:val="000622FD"/>
    <w:rsid w:val="00062327"/>
    <w:rsid w:val="000626EC"/>
    <w:rsid w:val="00062AD4"/>
    <w:rsid w:val="00062CC9"/>
    <w:rsid w:val="0006328A"/>
    <w:rsid w:val="000632A9"/>
    <w:rsid w:val="000633AB"/>
    <w:rsid w:val="00063430"/>
    <w:rsid w:val="000644F1"/>
    <w:rsid w:val="00064613"/>
    <w:rsid w:val="0006473F"/>
    <w:rsid w:val="00064A67"/>
    <w:rsid w:val="00064BA1"/>
    <w:rsid w:val="00064F68"/>
    <w:rsid w:val="00065028"/>
    <w:rsid w:val="000650C9"/>
    <w:rsid w:val="000650CF"/>
    <w:rsid w:val="000653F8"/>
    <w:rsid w:val="00065B6E"/>
    <w:rsid w:val="00065BBD"/>
    <w:rsid w:val="00065D37"/>
    <w:rsid w:val="000665CD"/>
    <w:rsid w:val="00066E00"/>
    <w:rsid w:val="000673E3"/>
    <w:rsid w:val="0006767D"/>
    <w:rsid w:val="00067AC1"/>
    <w:rsid w:val="00067D1D"/>
    <w:rsid w:val="00067DEC"/>
    <w:rsid w:val="00067EE3"/>
    <w:rsid w:val="000703C9"/>
    <w:rsid w:val="00070A5F"/>
    <w:rsid w:val="00071314"/>
    <w:rsid w:val="00071C84"/>
    <w:rsid w:val="0007215F"/>
    <w:rsid w:val="0007233E"/>
    <w:rsid w:val="00072783"/>
    <w:rsid w:val="000729B9"/>
    <w:rsid w:val="00072E4A"/>
    <w:rsid w:val="00073744"/>
    <w:rsid w:val="00073EFD"/>
    <w:rsid w:val="00073F90"/>
    <w:rsid w:val="00074825"/>
    <w:rsid w:val="00074A25"/>
    <w:rsid w:val="00074A3B"/>
    <w:rsid w:val="00074EDA"/>
    <w:rsid w:val="00075152"/>
    <w:rsid w:val="00075758"/>
    <w:rsid w:val="00075F2A"/>
    <w:rsid w:val="0007602F"/>
    <w:rsid w:val="00076804"/>
    <w:rsid w:val="00076BDF"/>
    <w:rsid w:val="00077085"/>
    <w:rsid w:val="0007779A"/>
    <w:rsid w:val="000778FD"/>
    <w:rsid w:val="00077D2F"/>
    <w:rsid w:val="000805A1"/>
    <w:rsid w:val="00080D1F"/>
    <w:rsid w:val="00081976"/>
    <w:rsid w:val="00081C66"/>
    <w:rsid w:val="000823E0"/>
    <w:rsid w:val="000826D5"/>
    <w:rsid w:val="00082CDF"/>
    <w:rsid w:val="00082FB1"/>
    <w:rsid w:val="000837B0"/>
    <w:rsid w:val="00083C63"/>
    <w:rsid w:val="00083CCC"/>
    <w:rsid w:val="000841D1"/>
    <w:rsid w:val="0008422A"/>
    <w:rsid w:val="00084681"/>
    <w:rsid w:val="000846B8"/>
    <w:rsid w:val="00084774"/>
    <w:rsid w:val="00084EE6"/>
    <w:rsid w:val="00085330"/>
    <w:rsid w:val="000855BE"/>
    <w:rsid w:val="000859C6"/>
    <w:rsid w:val="00085DFD"/>
    <w:rsid w:val="00085E1C"/>
    <w:rsid w:val="000861B9"/>
    <w:rsid w:val="00086289"/>
    <w:rsid w:val="0008657B"/>
    <w:rsid w:val="00087176"/>
    <w:rsid w:val="00087848"/>
    <w:rsid w:val="000901E9"/>
    <w:rsid w:val="00090238"/>
    <w:rsid w:val="0009028F"/>
    <w:rsid w:val="00091555"/>
    <w:rsid w:val="00091696"/>
    <w:rsid w:val="000917FF"/>
    <w:rsid w:val="00091B41"/>
    <w:rsid w:val="00091D87"/>
    <w:rsid w:val="0009239E"/>
    <w:rsid w:val="00092EB1"/>
    <w:rsid w:val="00092F6E"/>
    <w:rsid w:val="0009380C"/>
    <w:rsid w:val="0009387E"/>
    <w:rsid w:val="00093B15"/>
    <w:rsid w:val="0009448B"/>
    <w:rsid w:val="000946E3"/>
    <w:rsid w:val="00094C0C"/>
    <w:rsid w:val="000952FC"/>
    <w:rsid w:val="000960D7"/>
    <w:rsid w:val="00096843"/>
    <w:rsid w:val="000969CB"/>
    <w:rsid w:val="00097985"/>
    <w:rsid w:val="00097F38"/>
    <w:rsid w:val="000A0165"/>
    <w:rsid w:val="000A018F"/>
    <w:rsid w:val="000A0759"/>
    <w:rsid w:val="000A0C91"/>
    <w:rsid w:val="000A0CE8"/>
    <w:rsid w:val="000A12B9"/>
    <w:rsid w:val="000A1742"/>
    <w:rsid w:val="000A17AB"/>
    <w:rsid w:val="000A19BA"/>
    <w:rsid w:val="000A1B24"/>
    <w:rsid w:val="000A1CAD"/>
    <w:rsid w:val="000A22A7"/>
    <w:rsid w:val="000A29FD"/>
    <w:rsid w:val="000A30BC"/>
    <w:rsid w:val="000A3362"/>
    <w:rsid w:val="000A33D6"/>
    <w:rsid w:val="000A3D29"/>
    <w:rsid w:val="000A3EEB"/>
    <w:rsid w:val="000A4386"/>
    <w:rsid w:val="000A4505"/>
    <w:rsid w:val="000A55D4"/>
    <w:rsid w:val="000A59F0"/>
    <w:rsid w:val="000A5A8F"/>
    <w:rsid w:val="000A5F8C"/>
    <w:rsid w:val="000A7341"/>
    <w:rsid w:val="000A79AD"/>
    <w:rsid w:val="000A7D5A"/>
    <w:rsid w:val="000B0551"/>
    <w:rsid w:val="000B07C1"/>
    <w:rsid w:val="000B0C76"/>
    <w:rsid w:val="000B10B7"/>
    <w:rsid w:val="000B11B7"/>
    <w:rsid w:val="000B1202"/>
    <w:rsid w:val="000B19F2"/>
    <w:rsid w:val="000B1E61"/>
    <w:rsid w:val="000B213E"/>
    <w:rsid w:val="000B30E0"/>
    <w:rsid w:val="000B3C2F"/>
    <w:rsid w:val="000B3DE4"/>
    <w:rsid w:val="000B4119"/>
    <w:rsid w:val="000B42C2"/>
    <w:rsid w:val="000B4908"/>
    <w:rsid w:val="000B4BB4"/>
    <w:rsid w:val="000B4C04"/>
    <w:rsid w:val="000B4FFD"/>
    <w:rsid w:val="000B542B"/>
    <w:rsid w:val="000B5644"/>
    <w:rsid w:val="000B597B"/>
    <w:rsid w:val="000B6490"/>
    <w:rsid w:val="000B65B3"/>
    <w:rsid w:val="000B6B70"/>
    <w:rsid w:val="000B7235"/>
    <w:rsid w:val="000B733C"/>
    <w:rsid w:val="000B753F"/>
    <w:rsid w:val="000B76D5"/>
    <w:rsid w:val="000C0608"/>
    <w:rsid w:val="000C0DFF"/>
    <w:rsid w:val="000C190B"/>
    <w:rsid w:val="000C1CD5"/>
    <w:rsid w:val="000C1D9A"/>
    <w:rsid w:val="000C1E14"/>
    <w:rsid w:val="000C1E6C"/>
    <w:rsid w:val="000C1ED5"/>
    <w:rsid w:val="000C1F66"/>
    <w:rsid w:val="000C2158"/>
    <w:rsid w:val="000C2399"/>
    <w:rsid w:val="000C24C5"/>
    <w:rsid w:val="000C25F3"/>
    <w:rsid w:val="000C3630"/>
    <w:rsid w:val="000C3646"/>
    <w:rsid w:val="000C3703"/>
    <w:rsid w:val="000C3BB8"/>
    <w:rsid w:val="000C47E1"/>
    <w:rsid w:val="000C49A5"/>
    <w:rsid w:val="000C546B"/>
    <w:rsid w:val="000C555E"/>
    <w:rsid w:val="000C59AB"/>
    <w:rsid w:val="000C5AEC"/>
    <w:rsid w:val="000C6071"/>
    <w:rsid w:val="000C6252"/>
    <w:rsid w:val="000C67F0"/>
    <w:rsid w:val="000C6F3A"/>
    <w:rsid w:val="000C7620"/>
    <w:rsid w:val="000C774E"/>
    <w:rsid w:val="000C797B"/>
    <w:rsid w:val="000C7AED"/>
    <w:rsid w:val="000C7E12"/>
    <w:rsid w:val="000C7E18"/>
    <w:rsid w:val="000D01F6"/>
    <w:rsid w:val="000D0F21"/>
    <w:rsid w:val="000D0F60"/>
    <w:rsid w:val="000D114A"/>
    <w:rsid w:val="000D1A22"/>
    <w:rsid w:val="000D1B92"/>
    <w:rsid w:val="000D1D3E"/>
    <w:rsid w:val="000D1FD0"/>
    <w:rsid w:val="000D2592"/>
    <w:rsid w:val="000D3498"/>
    <w:rsid w:val="000D42C8"/>
    <w:rsid w:val="000D4369"/>
    <w:rsid w:val="000D4403"/>
    <w:rsid w:val="000D462E"/>
    <w:rsid w:val="000D4EE1"/>
    <w:rsid w:val="000D51F4"/>
    <w:rsid w:val="000D55DA"/>
    <w:rsid w:val="000D6212"/>
    <w:rsid w:val="000D632D"/>
    <w:rsid w:val="000D6D57"/>
    <w:rsid w:val="000D7489"/>
    <w:rsid w:val="000D793C"/>
    <w:rsid w:val="000D7E2F"/>
    <w:rsid w:val="000E010C"/>
    <w:rsid w:val="000E083F"/>
    <w:rsid w:val="000E0F6B"/>
    <w:rsid w:val="000E15FE"/>
    <w:rsid w:val="000E190D"/>
    <w:rsid w:val="000E2267"/>
    <w:rsid w:val="000E324B"/>
    <w:rsid w:val="000E33AA"/>
    <w:rsid w:val="000E35B4"/>
    <w:rsid w:val="000E35EA"/>
    <w:rsid w:val="000E3616"/>
    <w:rsid w:val="000E3BEA"/>
    <w:rsid w:val="000E3D63"/>
    <w:rsid w:val="000E4154"/>
    <w:rsid w:val="000E44AA"/>
    <w:rsid w:val="000E465F"/>
    <w:rsid w:val="000E522A"/>
    <w:rsid w:val="000E53D7"/>
    <w:rsid w:val="000E57F6"/>
    <w:rsid w:val="000E58F1"/>
    <w:rsid w:val="000E5DB1"/>
    <w:rsid w:val="000E5F8A"/>
    <w:rsid w:val="000E683E"/>
    <w:rsid w:val="000E692A"/>
    <w:rsid w:val="000E71DC"/>
    <w:rsid w:val="000E72A9"/>
    <w:rsid w:val="000E740D"/>
    <w:rsid w:val="000E7446"/>
    <w:rsid w:val="000E7C37"/>
    <w:rsid w:val="000E7EA7"/>
    <w:rsid w:val="000E7F48"/>
    <w:rsid w:val="000F0180"/>
    <w:rsid w:val="000F0378"/>
    <w:rsid w:val="000F0821"/>
    <w:rsid w:val="000F0E06"/>
    <w:rsid w:val="000F1300"/>
    <w:rsid w:val="000F1505"/>
    <w:rsid w:val="000F1619"/>
    <w:rsid w:val="000F1970"/>
    <w:rsid w:val="000F1A5E"/>
    <w:rsid w:val="000F1C76"/>
    <w:rsid w:val="000F1DF6"/>
    <w:rsid w:val="000F224C"/>
    <w:rsid w:val="000F24DB"/>
    <w:rsid w:val="000F25EA"/>
    <w:rsid w:val="000F2AEE"/>
    <w:rsid w:val="000F2C16"/>
    <w:rsid w:val="000F30A3"/>
    <w:rsid w:val="000F3252"/>
    <w:rsid w:val="000F3341"/>
    <w:rsid w:val="000F3802"/>
    <w:rsid w:val="000F4A41"/>
    <w:rsid w:val="000F510C"/>
    <w:rsid w:val="000F55BA"/>
    <w:rsid w:val="000F5A6E"/>
    <w:rsid w:val="000F611A"/>
    <w:rsid w:val="000F6380"/>
    <w:rsid w:val="000F64EE"/>
    <w:rsid w:val="000F6D2D"/>
    <w:rsid w:val="000F7349"/>
    <w:rsid w:val="000F76BE"/>
    <w:rsid w:val="000F7734"/>
    <w:rsid w:val="000F7BC2"/>
    <w:rsid w:val="000F7DCF"/>
    <w:rsid w:val="0010049A"/>
    <w:rsid w:val="001007F1"/>
    <w:rsid w:val="00101BF6"/>
    <w:rsid w:val="00101DB4"/>
    <w:rsid w:val="00102316"/>
    <w:rsid w:val="0010258D"/>
    <w:rsid w:val="00102C9A"/>
    <w:rsid w:val="00102E62"/>
    <w:rsid w:val="00102EAA"/>
    <w:rsid w:val="00103122"/>
    <w:rsid w:val="001039DC"/>
    <w:rsid w:val="00104074"/>
    <w:rsid w:val="0010420D"/>
    <w:rsid w:val="001043BE"/>
    <w:rsid w:val="0010478A"/>
    <w:rsid w:val="00104832"/>
    <w:rsid w:val="001049B3"/>
    <w:rsid w:val="001050AB"/>
    <w:rsid w:val="00105189"/>
    <w:rsid w:val="0010562B"/>
    <w:rsid w:val="00106812"/>
    <w:rsid w:val="00106847"/>
    <w:rsid w:val="001069E7"/>
    <w:rsid w:val="00106EB4"/>
    <w:rsid w:val="00107626"/>
    <w:rsid w:val="00107674"/>
    <w:rsid w:val="00107941"/>
    <w:rsid w:val="0011042F"/>
    <w:rsid w:val="0011064A"/>
    <w:rsid w:val="0011077E"/>
    <w:rsid w:val="00110792"/>
    <w:rsid w:val="00110D77"/>
    <w:rsid w:val="00110F45"/>
    <w:rsid w:val="00111326"/>
    <w:rsid w:val="0011132F"/>
    <w:rsid w:val="00111AA1"/>
    <w:rsid w:val="00111BF6"/>
    <w:rsid w:val="00111E30"/>
    <w:rsid w:val="00112147"/>
    <w:rsid w:val="0011256E"/>
    <w:rsid w:val="0011328A"/>
    <w:rsid w:val="00113A4D"/>
    <w:rsid w:val="00114257"/>
    <w:rsid w:val="00114617"/>
    <w:rsid w:val="00114A8D"/>
    <w:rsid w:val="00114DEE"/>
    <w:rsid w:val="0011517B"/>
    <w:rsid w:val="00115914"/>
    <w:rsid w:val="00115AB9"/>
    <w:rsid w:val="00115D28"/>
    <w:rsid w:val="001162DB"/>
    <w:rsid w:val="0011669B"/>
    <w:rsid w:val="001167F5"/>
    <w:rsid w:val="00116A5D"/>
    <w:rsid w:val="001170B9"/>
    <w:rsid w:val="00117243"/>
    <w:rsid w:val="00117323"/>
    <w:rsid w:val="001174CB"/>
    <w:rsid w:val="001174F8"/>
    <w:rsid w:val="001178BF"/>
    <w:rsid w:val="00117D29"/>
    <w:rsid w:val="00117D31"/>
    <w:rsid w:val="001208B2"/>
    <w:rsid w:val="001212C0"/>
    <w:rsid w:val="001212FC"/>
    <w:rsid w:val="00121A84"/>
    <w:rsid w:val="00122507"/>
    <w:rsid w:val="0012266B"/>
    <w:rsid w:val="0012280A"/>
    <w:rsid w:val="00122FBB"/>
    <w:rsid w:val="0012341A"/>
    <w:rsid w:val="00125138"/>
    <w:rsid w:val="0012534B"/>
    <w:rsid w:val="0012592C"/>
    <w:rsid w:val="00125E22"/>
    <w:rsid w:val="00126070"/>
    <w:rsid w:val="00126174"/>
    <w:rsid w:val="00126276"/>
    <w:rsid w:val="00126822"/>
    <w:rsid w:val="0012685F"/>
    <w:rsid w:val="00126CB4"/>
    <w:rsid w:val="001273AF"/>
    <w:rsid w:val="00127606"/>
    <w:rsid w:val="00127A36"/>
    <w:rsid w:val="00127AE3"/>
    <w:rsid w:val="00127CAD"/>
    <w:rsid w:val="00130397"/>
    <w:rsid w:val="00130DA1"/>
    <w:rsid w:val="00132BCA"/>
    <w:rsid w:val="001332E0"/>
    <w:rsid w:val="0013343C"/>
    <w:rsid w:val="00133E86"/>
    <w:rsid w:val="0013441F"/>
    <w:rsid w:val="001347FF"/>
    <w:rsid w:val="001348F8"/>
    <w:rsid w:val="00134926"/>
    <w:rsid w:val="00134BCC"/>
    <w:rsid w:val="00134C8D"/>
    <w:rsid w:val="00134FCD"/>
    <w:rsid w:val="00135415"/>
    <w:rsid w:val="00135E7F"/>
    <w:rsid w:val="00136091"/>
    <w:rsid w:val="0013621B"/>
    <w:rsid w:val="0013657A"/>
    <w:rsid w:val="00136822"/>
    <w:rsid w:val="00137067"/>
    <w:rsid w:val="001371FF"/>
    <w:rsid w:val="00137548"/>
    <w:rsid w:val="00137A32"/>
    <w:rsid w:val="00137F25"/>
    <w:rsid w:val="00140F82"/>
    <w:rsid w:val="001415DE"/>
    <w:rsid w:val="00141909"/>
    <w:rsid w:val="0014192A"/>
    <w:rsid w:val="00141975"/>
    <w:rsid w:val="00141E54"/>
    <w:rsid w:val="00142706"/>
    <w:rsid w:val="00142B08"/>
    <w:rsid w:val="00142C3B"/>
    <w:rsid w:val="001436DE"/>
    <w:rsid w:val="00143758"/>
    <w:rsid w:val="00143C62"/>
    <w:rsid w:val="00143EA5"/>
    <w:rsid w:val="00143F2C"/>
    <w:rsid w:val="00144D91"/>
    <w:rsid w:val="001454BA"/>
    <w:rsid w:val="0014569F"/>
    <w:rsid w:val="0014589C"/>
    <w:rsid w:val="00146025"/>
    <w:rsid w:val="001462F3"/>
    <w:rsid w:val="0014634B"/>
    <w:rsid w:val="001468BC"/>
    <w:rsid w:val="00146914"/>
    <w:rsid w:val="0014699A"/>
    <w:rsid w:val="00146D5D"/>
    <w:rsid w:val="00147157"/>
    <w:rsid w:val="00147542"/>
    <w:rsid w:val="00147731"/>
    <w:rsid w:val="001477D4"/>
    <w:rsid w:val="00150180"/>
    <w:rsid w:val="001504B3"/>
    <w:rsid w:val="001504E2"/>
    <w:rsid w:val="00150539"/>
    <w:rsid w:val="001505F9"/>
    <w:rsid w:val="00151F58"/>
    <w:rsid w:val="0015241F"/>
    <w:rsid w:val="00152873"/>
    <w:rsid w:val="00153387"/>
    <w:rsid w:val="00153D91"/>
    <w:rsid w:val="00153EFB"/>
    <w:rsid w:val="001546A8"/>
    <w:rsid w:val="00154AFA"/>
    <w:rsid w:val="00154DAC"/>
    <w:rsid w:val="0015525C"/>
    <w:rsid w:val="00155353"/>
    <w:rsid w:val="0015544D"/>
    <w:rsid w:val="00155CF0"/>
    <w:rsid w:val="00155E61"/>
    <w:rsid w:val="00155FEA"/>
    <w:rsid w:val="00156F1E"/>
    <w:rsid w:val="00157258"/>
    <w:rsid w:val="001572BE"/>
    <w:rsid w:val="0015750F"/>
    <w:rsid w:val="00157AA2"/>
    <w:rsid w:val="00157B56"/>
    <w:rsid w:val="00157C01"/>
    <w:rsid w:val="00157DC9"/>
    <w:rsid w:val="001601D9"/>
    <w:rsid w:val="00160213"/>
    <w:rsid w:val="00160224"/>
    <w:rsid w:val="0016051D"/>
    <w:rsid w:val="001609EE"/>
    <w:rsid w:val="00160C67"/>
    <w:rsid w:val="00160E36"/>
    <w:rsid w:val="0016118A"/>
    <w:rsid w:val="001612BE"/>
    <w:rsid w:val="0016138B"/>
    <w:rsid w:val="00161F66"/>
    <w:rsid w:val="0016200C"/>
    <w:rsid w:val="00162517"/>
    <w:rsid w:val="00163712"/>
    <w:rsid w:val="001639E3"/>
    <w:rsid w:val="001646E7"/>
    <w:rsid w:val="00164841"/>
    <w:rsid w:val="001648E6"/>
    <w:rsid w:val="001650A3"/>
    <w:rsid w:val="0016577A"/>
    <w:rsid w:val="00165932"/>
    <w:rsid w:val="00165A30"/>
    <w:rsid w:val="00165CD4"/>
    <w:rsid w:val="00165E6F"/>
    <w:rsid w:val="00166688"/>
    <w:rsid w:val="001666EE"/>
    <w:rsid w:val="00166A86"/>
    <w:rsid w:val="00166DD1"/>
    <w:rsid w:val="00166F22"/>
    <w:rsid w:val="00167005"/>
    <w:rsid w:val="001677D1"/>
    <w:rsid w:val="00167861"/>
    <w:rsid w:val="00167934"/>
    <w:rsid w:val="00167DCE"/>
    <w:rsid w:val="00167F81"/>
    <w:rsid w:val="001705C3"/>
    <w:rsid w:val="00170840"/>
    <w:rsid w:val="00170939"/>
    <w:rsid w:val="0017170B"/>
    <w:rsid w:val="00171F00"/>
    <w:rsid w:val="0017211D"/>
    <w:rsid w:val="001722A6"/>
    <w:rsid w:val="00172400"/>
    <w:rsid w:val="001730AC"/>
    <w:rsid w:val="0017324B"/>
    <w:rsid w:val="001739AC"/>
    <w:rsid w:val="0017479F"/>
    <w:rsid w:val="00175A48"/>
    <w:rsid w:val="00175B24"/>
    <w:rsid w:val="001763C6"/>
    <w:rsid w:val="001764B2"/>
    <w:rsid w:val="0017679B"/>
    <w:rsid w:val="00176D41"/>
    <w:rsid w:val="00176F11"/>
    <w:rsid w:val="00176FAB"/>
    <w:rsid w:val="0017756B"/>
    <w:rsid w:val="0017778F"/>
    <w:rsid w:val="00177B35"/>
    <w:rsid w:val="00177DB4"/>
    <w:rsid w:val="00180381"/>
    <w:rsid w:val="00180D68"/>
    <w:rsid w:val="00180EEF"/>
    <w:rsid w:val="00181132"/>
    <w:rsid w:val="0018120A"/>
    <w:rsid w:val="00181341"/>
    <w:rsid w:val="0018163E"/>
    <w:rsid w:val="00181714"/>
    <w:rsid w:val="00181742"/>
    <w:rsid w:val="0018186C"/>
    <w:rsid w:val="001818FC"/>
    <w:rsid w:val="00182044"/>
    <w:rsid w:val="0018272C"/>
    <w:rsid w:val="00182818"/>
    <w:rsid w:val="001832B7"/>
    <w:rsid w:val="001833EA"/>
    <w:rsid w:val="00183976"/>
    <w:rsid w:val="00183AFB"/>
    <w:rsid w:val="00183E0F"/>
    <w:rsid w:val="001843BB"/>
    <w:rsid w:val="001843E8"/>
    <w:rsid w:val="00184578"/>
    <w:rsid w:val="00184775"/>
    <w:rsid w:val="0018525E"/>
    <w:rsid w:val="001855A2"/>
    <w:rsid w:val="0018594F"/>
    <w:rsid w:val="00185BBC"/>
    <w:rsid w:val="00185C08"/>
    <w:rsid w:val="00185E58"/>
    <w:rsid w:val="0018628C"/>
    <w:rsid w:val="00186936"/>
    <w:rsid w:val="00186EC4"/>
    <w:rsid w:val="001871A5"/>
    <w:rsid w:val="00187238"/>
    <w:rsid w:val="0018787C"/>
    <w:rsid w:val="00187B4C"/>
    <w:rsid w:val="001909FC"/>
    <w:rsid w:val="00190C91"/>
    <w:rsid w:val="00190CDA"/>
    <w:rsid w:val="00190E25"/>
    <w:rsid w:val="00190E32"/>
    <w:rsid w:val="00191494"/>
    <w:rsid w:val="001918C4"/>
    <w:rsid w:val="00192A5D"/>
    <w:rsid w:val="00192C6A"/>
    <w:rsid w:val="00192E12"/>
    <w:rsid w:val="0019312E"/>
    <w:rsid w:val="001939EC"/>
    <w:rsid w:val="00193E3B"/>
    <w:rsid w:val="00193F1E"/>
    <w:rsid w:val="00193F3A"/>
    <w:rsid w:val="00193FF0"/>
    <w:rsid w:val="0019465D"/>
    <w:rsid w:val="00195B28"/>
    <w:rsid w:val="00196F6E"/>
    <w:rsid w:val="001976B3"/>
    <w:rsid w:val="001979CE"/>
    <w:rsid w:val="00197E92"/>
    <w:rsid w:val="001A03FF"/>
    <w:rsid w:val="001A0958"/>
    <w:rsid w:val="001A0E24"/>
    <w:rsid w:val="001A105C"/>
    <w:rsid w:val="001A15AC"/>
    <w:rsid w:val="001A15E0"/>
    <w:rsid w:val="001A2160"/>
    <w:rsid w:val="001A22B5"/>
    <w:rsid w:val="001A2AF4"/>
    <w:rsid w:val="001A3CD4"/>
    <w:rsid w:val="001A4346"/>
    <w:rsid w:val="001A43B6"/>
    <w:rsid w:val="001A5133"/>
    <w:rsid w:val="001A5150"/>
    <w:rsid w:val="001A5A26"/>
    <w:rsid w:val="001A5A95"/>
    <w:rsid w:val="001A5B31"/>
    <w:rsid w:val="001A5ED3"/>
    <w:rsid w:val="001A606C"/>
    <w:rsid w:val="001A63B4"/>
    <w:rsid w:val="001A644A"/>
    <w:rsid w:val="001A7035"/>
    <w:rsid w:val="001A73A6"/>
    <w:rsid w:val="001A7B8C"/>
    <w:rsid w:val="001A7FD4"/>
    <w:rsid w:val="001B0674"/>
    <w:rsid w:val="001B0B9D"/>
    <w:rsid w:val="001B0DFD"/>
    <w:rsid w:val="001B106D"/>
    <w:rsid w:val="001B13D4"/>
    <w:rsid w:val="001B1E28"/>
    <w:rsid w:val="001B1EAA"/>
    <w:rsid w:val="001B1F65"/>
    <w:rsid w:val="001B2162"/>
    <w:rsid w:val="001B23A8"/>
    <w:rsid w:val="001B2569"/>
    <w:rsid w:val="001B2E80"/>
    <w:rsid w:val="001B33DE"/>
    <w:rsid w:val="001B33E3"/>
    <w:rsid w:val="001B3618"/>
    <w:rsid w:val="001B403E"/>
    <w:rsid w:val="001B45CE"/>
    <w:rsid w:val="001B4C29"/>
    <w:rsid w:val="001B4DBA"/>
    <w:rsid w:val="001B4F9A"/>
    <w:rsid w:val="001B521E"/>
    <w:rsid w:val="001B5777"/>
    <w:rsid w:val="001B5CAF"/>
    <w:rsid w:val="001B65CA"/>
    <w:rsid w:val="001B674B"/>
    <w:rsid w:val="001B6940"/>
    <w:rsid w:val="001B69ED"/>
    <w:rsid w:val="001B6E0B"/>
    <w:rsid w:val="001B7055"/>
    <w:rsid w:val="001B7265"/>
    <w:rsid w:val="001B7503"/>
    <w:rsid w:val="001B78A4"/>
    <w:rsid w:val="001B7C24"/>
    <w:rsid w:val="001B7FFD"/>
    <w:rsid w:val="001C02FA"/>
    <w:rsid w:val="001C061A"/>
    <w:rsid w:val="001C0767"/>
    <w:rsid w:val="001C1143"/>
    <w:rsid w:val="001C169C"/>
    <w:rsid w:val="001C1DAC"/>
    <w:rsid w:val="001C1E30"/>
    <w:rsid w:val="001C1ED3"/>
    <w:rsid w:val="001C25A8"/>
    <w:rsid w:val="001C2647"/>
    <w:rsid w:val="001C3108"/>
    <w:rsid w:val="001C3287"/>
    <w:rsid w:val="001C32D1"/>
    <w:rsid w:val="001C39F5"/>
    <w:rsid w:val="001C3B7F"/>
    <w:rsid w:val="001C3C6A"/>
    <w:rsid w:val="001C3D28"/>
    <w:rsid w:val="001C46B5"/>
    <w:rsid w:val="001C471A"/>
    <w:rsid w:val="001C4D57"/>
    <w:rsid w:val="001C52C0"/>
    <w:rsid w:val="001C5560"/>
    <w:rsid w:val="001C5D33"/>
    <w:rsid w:val="001C6008"/>
    <w:rsid w:val="001C61ED"/>
    <w:rsid w:val="001C6246"/>
    <w:rsid w:val="001C686C"/>
    <w:rsid w:val="001C69C3"/>
    <w:rsid w:val="001C6BF0"/>
    <w:rsid w:val="001C7817"/>
    <w:rsid w:val="001C7AD2"/>
    <w:rsid w:val="001D0263"/>
    <w:rsid w:val="001D0690"/>
    <w:rsid w:val="001D0A49"/>
    <w:rsid w:val="001D1E48"/>
    <w:rsid w:val="001D1EEF"/>
    <w:rsid w:val="001D23AA"/>
    <w:rsid w:val="001D2EE0"/>
    <w:rsid w:val="001D33CD"/>
    <w:rsid w:val="001D3A8E"/>
    <w:rsid w:val="001D3AFC"/>
    <w:rsid w:val="001D4082"/>
    <w:rsid w:val="001D4510"/>
    <w:rsid w:val="001D4600"/>
    <w:rsid w:val="001D47CD"/>
    <w:rsid w:val="001D48A2"/>
    <w:rsid w:val="001D4DAD"/>
    <w:rsid w:val="001D512E"/>
    <w:rsid w:val="001D584B"/>
    <w:rsid w:val="001D5AD4"/>
    <w:rsid w:val="001D692F"/>
    <w:rsid w:val="001D6ACF"/>
    <w:rsid w:val="001D6E50"/>
    <w:rsid w:val="001D7153"/>
    <w:rsid w:val="001D73EB"/>
    <w:rsid w:val="001D783C"/>
    <w:rsid w:val="001D7A5F"/>
    <w:rsid w:val="001D7B66"/>
    <w:rsid w:val="001E0071"/>
    <w:rsid w:val="001E062A"/>
    <w:rsid w:val="001E0849"/>
    <w:rsid w:val="001E0BB5"/>
    <w:rsid w:val="001E0EFF"/>
    <w:rsid w:val="001E155B"/>
    <w:rsid w:val="001E16FE"/>
    <w:rsid w:val="001E1A16"/>
    <w:rsid w:val="001E2262"/>
    <w:rsid w:val="001E22CA"/>
    <w:rsid w:val="001E2652"/>
    <w:rsid w:val="001E2C2B"/>
    <w:rsid w:val="001E2CEC"/>
    <w:rsid w:val="001E3360"/>
    <w:rsid w:val="001E3405"/>
    <w:rsid w:val="001E3A0E"/>
    <w:rsid w:val="001E47A1"/>
    <w:rsid w:val="001E496F"/>
    <w:rsid w:val="001E4BD8"/>
    <w:rsid w:val="001E5212"/>
    <w:rsid w:val="001E5671"/>
    <w:rsid w:val="001E5F9F"/>
    <w:rsid w:val="001E6C64"/>
    <w:rsid w:val="001E6CA8"/>
    <w:rsid w:val="001E7209"/>
    <w:rsid w:val="001E72B5"/>
    <w:rsid w:val="001E7944"/>
    <w:rsid w:val="001F05AF"/>
    <w:rsid w:val="001F05CC"/>
    <w:rsid w:val="001F0D06"/>
    <w:rsid w:val="001F171F"/>
    <w:rsid w:val="001F1870"/>
    <w:rsid w:val="001F1CEA"/>
    <w:rsid w:val="001F1E30"/>
    <w:rsid w:val="001F1E4A"/>
    <w:rsid w:val="001F23EC"/>
    <w:rsid w:val="001F2475"/>
    <w:rsid w:val="001F26C5"/>
    <w:rsid w:val="001F2B9C"/>
    <w:rsid w:val="001F2C20"/>
    <w:rsid w:val="001F43AA"/>
    <w:rsid w:val="001F4561"/>
    <w:rsid w:val="001F52E6"/>
    <w:rsid w:val="001F5C53"/>
    <w:rsid w:val="001F5E3C"/>
    <w:rsid w:val="001F60A8"/>
    <w:rsid w:val="001F62D3"/>
    <w:rsid w:val="001F63C5"/>
    <w:rsid w:val="001F63D5"/>
    <w:rsid w:val="001F6ACD"/>
    <w:rsid w:val="001F7F86"/>
    <w:rsid w:val="00200121"/>
    <w:rsid w:val="0020048B"/>
    <w:rsid w:val="002009F0"/>
    <w:rsid w:val="002010B6"/>
    <w:rsid w:val="002010EC"/>
    <w:rsid w:val="002012E1"/>
    <w:rsid w:val="0020149D"/>
    <w:rsid w:val="002016EF"/>
    <w:rsid w:val="00202130"/>
    <w:rsid w:val="002022C1"/>
    <w:rsid w:val="002024FA"/>
    <w:rsid w:val="00202658"/>
    <w:rsid w:val="00202A85"/>
    <w:rsid w:val="00202AF4"/>
    <w:rsid w:val="00202BE9"/>
    <w:rsid w:val="002032EC"/>
    <w:rsid w:val="0020357F"/>
    <w:rsid w:val="0020358F"/>
    <w:rsid w:val="00203C21"/>
    <w:rsid w:val="00204C3B"/>
    <w:rsid w:val="00206629"/>
    <w:rsid w:val="0020690F"/>
    <w:rsid w:val="00206D21"/>
    <w:rsid w:val="0020718D"/>
    <w:rsid w:val="00207775"/>
    <w:rsid w:val="00210561"/>
    <w:rsid w:val="00210694"/>
    <w:rsid w:val="00210D3F"/>
    <w:rsid w:val="00210EB8"/>
    <w:rsid w:val="002115EA"/>
    <w:rsid w:val="0021237C"/>
    <w:rsid w:val="00212843"/>
    <w:rsid w:val="00212A8D"/>
    <w:rsid w:val="00213204"/>
    <w:rsid w:val="0021343D"/>
    <w:rsid w:val="00213459"/>
    <w:rsid w:val="0021366A"/>
    <w:rsid w:val="00214045"/>
    <w:rsid w:val="00214167"/>
    <w:rsid w:val="002145BC"/>
    <w:rsid w:val="002149DF"/>
    <w:rsid w:val="00214D9F"/>
    <w:rsid w:val="00214E65"/>
    <w:rsid w:val="0021502B"/>
    <w:rsid w:val="002151E9"/>
    <w:rsid w:val="00215612"/>
    <w:rsid w:val="0021619F"/>
    <w:rsid w:val="00216B2A"/>
    <w:rsid w:val="00217017"/>
    <w:rsid w:val="00217CC3"/>
    <w:rsid w:val="002204C4"/>
    <w:rsid w:val="002209FE"/>
    <w:rsid w:val="00220C89"/>
    <w:rsid w:val="002212E7"/>
    <w:rsid w:val="0022155E"/>
    <w:rsid w:val="00222148"/>
    <w:rsid w:val="00222239"/>
    <w:rsid w:val="00222D26"/>
    <w:rsid w:val="00222E52"/>
    <w:rsid w:val="00224A32"/>
    <w:rsid w:val="00224B32"/>
    <w:rsid w:val="00225144"/>
    <w:rsid w:val="00225B6F"/>
    <w:rsid w:val="00225F42"/>
    <w:rsid w:val="002262D2"/>
    <w:rsid w:val="00226354"/>
    <w:rsid w:val="00226578"/>
    <w:rsid w:val="0022691A"/>
    <w:rsid w:val="00226DC9"/>
    <w:rsid w:val="00227075"/>
    <w:rsid w:val="0022731F"/>
    <w:rsid w:val="00227877"/>
    <w:rsid w:val="0022787A"/>
    <w:rsid w:val="00230080"/>
    <w:rsid w:val="002300C1"/>
    <w:rsid w:val="002304BA"/>
    <w:rsid w:val="00230772"/>
    <w:rsid w:val="002307FC"/>
    <w:rsid w:val="0023093F"/>
    <w:rsid w:val="002314C9"/>
    <w:rsid w:val="0023162E"/>
    <w:rsid w:val="002316A5"/>
    <w:rsid w:val="00231E3C"/>
    <w:rsid w:val="00231E42"/>
    <w:rsid w:val="00231E57"/>
    <w:rsid w:val="002323B5"/>
    <w:rsid w:val="00232E52"/>
    <w:rsid w:val="00233987"/>
    <w:rsid w:val="00233CC7"/>
    <w:rsid w:val="00233FD3"/>
    <w:rsid w:val="00234210"/>
    <w:rsid w:val="002355C6"/>
    <w:rsid w:val="002358E4"/>
    <w:rsid w:val="00235E2A"/>
    <w:rsid w:val="00236101"/>
    <w:rsid w:val="00236BFE"/>
    <w:rsid w:val="00236F74"/>
    <w:rsid w:val="00240915"/>
    <w:rsid w:val="00240CC5"/>
    <w:rsid w:val="00241554"/>
    <w:rsid w:val="00241C2C"/>
    <w:rsid w:val="00241FD2"/>
    <w:rsid w:val="00242134"/>
    <w:rsid w:val="002427A9"/>
    <w:rsid w:val="0024294A"/>
    <w:rsid w:val="00242CAF"/>
    <w:rsid w:val="00243320"/>
    <w:rsid w:val="002437DF"/>
    <w:rsid w:val="002439B5"/>
    <w:rsid w:val="00243FB8"/>
    <w:rsid w:val="00244818"/>
    <w:rsid w:val="00244C49"/>
    <w:rsid w:val="002454A5"/>
    <w:rsid w:val="00245E51"/>
    <w:rsid w:val="00246179"/>
    <w:rsid w:val="002463EC"/>
    <w:rsid w:val="00246777"/>
    <w:rsid w:val="00246C5C"/>
    <w:rsid w:val="00246E83"/>
    <w:rsid w:val="00247606"/>
    <w:rsid w:val="00247672"/>
    <w:rsid w:val="00247AB4"/>
    <w:rsid w:val="00250379"/>
    <w:rsid w:val="002507F7"/>
    <w:rsid w:val="00250925"/>
    <w:rsid w:val="00250CCD"/>
    <w:rsid w:val="00250D9D"/>
    <w:rsid w:val="002513BF"/>
    <w:rsid w:val="00251BED"/>
    <w:rsid w:val="0025222F"/>
    <w:rsid w:val="0025344F"/>
    <w:rsid w:val="0025364F"/>
    <w:rsid w:val="00253651"/>
    <w:rsid w:val="00253785"/>
    <w:rsid w:val="00253A52"/>
    <w:rsid w:val="00255840"/>
    <w:rsid w:val="00255842"/>
    <w:rsid w:val="00255B9C"/>
    <w:rsid w:val="00256554"/>
    <w:rsid w:val="00256EAA"/>
    <w:rsid w:val="0026028E"/>
    <w:rsid w:val="002602E1"/>
    <w:rsid w:val="00260314"/>
    <w:rsid w:val="00260315"/>
    <w:rsid w:val="0026074C"/>
    <w:rsid w:val="0026074D"/>
    <w:rsid w:val="00260955"/>
    <w:rsid w:val="00260ACA"/>
    <w:rsid w:val="00260C66"/>
    <w:rsid w:val="00260D3E"/>
    <w:rsid w:val="00260E37"/>
    <w:rsid w:val="00261113"/>
    <w:rsid w:val="00261B28"/>
    <w:rsid w:val="00261B92"/>
    <w:rsid w:val="00262312"/>
    <w:rsid w:val="002631C2"/>
    <w:rsid w:val="002631D4"/>
    <w:rsid w:val="0026353F"/>
    <w:rsid w:val="002639CA"/>
    <w:rsid w:val="0026481F"/>
    <w:rsid w:val="00264838"/>
    <w:rsid w:val="00264D04"/>
    <w:rsid w:val="00265791"/>
    <w:rsid w:val="00265A66"/>
    <w:rsid w:val="002666CD"/>
    <w:rsid w:val="00266C61"/>
    <w:rsid w:val="00266EA4"/>
    <w:rsid w:val="00266EB6"/>
    <w:rsid w:val="00267417"/>
    <w:rsid w:val="00267479"/>
    <w:rsid w:val="00267889"/>
    <w:rsid w:val="00267D4A"/>
    <w:rsid w:val="00270953"/>
    <w:rsid w:val="00270AB0"/>
    <w:rsid w:val="00270E6F"/>
    <w:rsid w:val="002713C3"/>
    <w:rsid w:val="0027160A"/>
    <w:rsid w:val="0027181B"/>
    <w:rsid w:val="00271B63"/>
    <w:rsid w:val="00271F44"/>
    <w:rsid w:val="00272323"/>
    <w:rsid w:val="00273090"/>
    <w:rsid w:val="0027351B"/>
    <w:rsid w:val="0027388B"/>
    <w:rsid w:val="00273C78"/>
    <w:rsid w:val="00275138"/>
    <w:rsid w:val="0027523C"/>
    <w:rsid w:val="002756B3"/>
    <w:rsid w:val="00275CB1"/>
    <w:rsid w:val="00276505"/>
    <w:rsid w:val="002767BF"/>
    <w:rsid w:val="00276B9D"/>
    <w:rsid w:val="002770B9"/>
    <w:rsid w:val="002773DB"/>
    <w:rsid w:val="002774B7"/>
    <w:rsid w:val="00277CAD"/>
    <w:rsid w:val="002801E2"/>
    <w:rsid w:val="002803DD"/>
    <w:rsid w:val="00280E07"/>
    <w:rsid w:val="0028125E"/>
    <w:rsid w:val="0028158E"/>
    <w:rsid w:val="002815B3"/>
    <w:rsid w:val="00281AFE"/>
    <w:rsid w:val="00282573"/>
    <w:rsid w:val="00282690"/>
    <w:rsid w:val="00282691"/>
    <w:rsid w:val="002826D7"/>
    <w:rsid w:val="00282865"/>
    <w:rsid w:val="00282B3B"/>
    <w:rsid w:val="002833F1"/>
    <w:rsid w:val="002839A2"/>
    <w:rsid w:val="002848E3"/>
    <w:rsid w:val="00284AC0"/>
    <w:rsid w:val="002850E6"/>
    <w:rsid w:val="00285750"/>
    <w:rsid w:val="00285E10"/>
    <w:rsid w:val="0028614F"/>
    <w:rsid w:val="00286210"/>
    <w:rsid w:val="00286362"/>
    <w:rsid w:val="002869D1"/>
    <w:rsid w:val="00286FB0"/>
    <w:rsid w:val="00290314"/>
    <w:rsid w:val="00290416"/>
    <w:rsid w:val="00290B0D"/>
    <w:rsid w:val="00290ED7"/>
    <w:rsid w:val="00291483"/>
    <w:rsid w:val="00291876"/>
    <w:rsid w:val="00291B82"/>
    <w:rsid w:val="00291F81"/>
    <w:rsid w:val="00293590"/>
    <w:rsid w:val="002936FE"/>
    <w:rsid w:val="00293851"/>
    <w:rsid w:val="00293B9F"/>
    <w:rsid w:val="00293D6B"/>
    <w:rsid w:val="00294197"/>
    <w:rsid w:val="002941D6"/>
    <w:rsid w:val="00294BEA"/>
    <w:rsid w:val="00294CD9"/>
    <w:rsid w:val="00295046"/>
    <w:rsid w:val="0029595F"/>
    <w:rsid w:val="00295A4D"/>
    <w:rsid w:val="00295BB7"/>
    <w:rsid w:val="00295C74"/>
    <w:rsid w:val="00295CE6"/>
    <w:rsid w:val="002964F4"/>
    <w:rsid w:val="00296516"/>
    <w:rsid w:val="002966C3"/>
    <w:rsid w:val="00296792"/>
    <w:rsid w:val="002969AC"/>
    <w:rsid w:val="00296B15"/>
    <w:rsid w:val="00296C21"/>
    <w:rsid w:val="002976CB"/>
    <w:rsid w:val="002A004B"/>
    <w:rsid w:val="002A0181"/>
    <w:rsid w:val="002A024A"/>
    <w:rsid w:val="002A0519"/>
    <w:rsid w:val="002A05F6"/>
    <w:rsid w:val="002A07F2"/>
    <w:rsid w:val="002A08AE"/>
    <w:rsid w:val="002A0F4A"/>
    <w:rsid w:val="002A179D"/>
    <w:rsid w:val="002A1C5E"/>
    <w:rsid w:val="002A1DE8"/>
    <w:rsid w:val="002A2097"/>
    <w:rsid w:val="002A2292"/>
    <w:rsid w:val="002A2881"/>
    <w:rsid w:val="002A2F0B"/>
    <w:rsid w:val="002A3103"/>
    <w:rsid w:val="002A36A6"/>
    <w:rsid w:val="002A3807"/>
    <w:rsid w:val="002A3D38"/>
    <w:rsid w:val="002A4718"/>
    <w:rsid w:val="002A4BBE"/>
    <w:rsid w:val="002A57A6"/>
    <w:rsid w:val="002A5927"/>
    <w:rsid w:val="002A5B0D"/>
    <w:rsid w:val="002A5D60"/>
    <w:rsid w:val="002A6436"/>
    <w:rsid w:val="002A6D43"/>
    <w:rsid w:val="002A6EFF"/>
    <w:rsid w:val="002A7216"/>
    <w:rsid w:val="002A72C3"/>
    <w:rsid w:val="002A7B29"/>
    <w:rsid w:val="002A7CE6"/>
    <w:rsid w:val="002A7F07"/>
    <w:rsid w:val="002B00F3"/>
    <w:rsid w:val="002B00F6"/>
    <w:rsid w:val="002B0208"/>
    <w:rsid w:val="002B0419"/>
    <w:rsid w:val="002B06B0"/>
    <w:rsid w:val="002B0E7D"/>
    <w:rsid w:val="002B0F3B"/>
    <w:rsid w:val="002B1096"/>
    <w:rsid w:val="002B11CF"/>
    <w:rsid w:val="002B1383"/>
    <w:rsid w:val="002B15AE"/>
    <w:rsid w:val="002B1785"/>
    <w:rsid w:val="002B1DCF"/>
    <w:rsid w:val="002B1E7C"/>
    <w:rsid w:val="002B1F63"/>
    <w:rsid w:val="002B20CE"/>
    <w:rsid w:val="002B2632"/>
    <w:rsid w:val="002B2B54"/>
    <w:rsid w:val="002B2C18"/>
    <w:rsid w:val="002B2E4F"/>
    <w:rsid w:val="002B2EF7"/>
    <w:rsid w:val="002B32E7"/>
    <w:rsid w:val="002B3566"/>
    <w:rsid w:val="002B36F5"/>
    <w:rsid w:val="002B378B"/>
    <w:rsid w:val="002B3EE5"/>
    <w:rsid w:val="002B4565"/>
    <w:rsid w:val="002B46E0"/>
    <w:rsid w:val="002B4AF8"/>
    <w:rsid w:val="002B4C26"/>
    <w:rsid w:val="002B5075"/>
    <w:rsid w:val="002B54DE"/>
    <w:rsid w:val="002B593C"/>
    <w:rsid w:val="002B5FFA"/>
    <w:rsid w:val="002B6285"/>
    <w:rsid w:val="002B644D"/>
    <w:rsid w:val="002B688F"/>
    <w:rsid w:val="002B6A69"/>
    <w:rsid w:val="002B7160"/>
    <w:rsid w:val="002B71BC"/>
    <w:rsid w:val="002B724B"/>
    <w:rsid w:val="002B740D"/>
    <w:rsid w:val="002B7727"/>
    <w:rsid w:val="002B77ED"/>
    <w:rsid w:val="002B77EF"/>
    <w:rsid w:val="002B77F3"/>
    <w:rsid w:val="002C012F"/>
    <w:rsid w:val="002C02D3"/>
    <w:rsid w:val="002C0749"/>
    <w:rsid w:val="002C0899"/>
    <w:rsid w:val="002C1332"/>
    <w:rsid w:val="002C16B2"/>
    <w:rsid w:val="002C1DAA"/>
    <w:rsid w:val="002C2B29"/>
    <w:rsid w:val="002C2C6C"/>
    <w:rsid w:val="002C2DB3"/>
    <w:rsid w:val="002C3481"/>
    <w:rsid w:val="002C37BA"/>
    <w:rsid w:val="002C45DD"/>
    <w:rsid w:val="002C4918"/>
    <w:rsid w:val="002C4978"/>
    <w:rsid w:val="002C4DF3"/>
    <w:rsid w:val="002C6241"/>
    <w:rsid w:val="002C6572"/>
    <w:rsid w:val="002C6695"/>
    <w:rsid w:val="002C67F3"/>
    <w:rsid w:val="002C69D1"/>
    <w:rsid w:val="002C6F68"/>
    <w:rsid w:val="002C7327"/>
    <w:rsid w:val="002C735D"/>
    <w:rsid w:val="002C77A2"/>
    <w:rsid w:val="002C7837"/>
    <w:rsid w:val="002C7C4C"/>
    <w:rsid w:val="002D01C3"/>
    <w:rsid w:val="002D07CD"/>
    <w:rsid w:val="002D0DC3"/>
    <w:rsid w:val="002D1C83"/>
    <w:rsid w:val="002D2321"/>
    <w:rsid w:val="002D2976"/>
    <w:rsid w:val="002D2A53"/>
    <w:rsid w:val="002D2AE2"/>
    <w:rsid w:val="002D3327"/>
    <w:rsid w:val="002D3425"/>
    <w:rsid w:val="002D35DE"/>
    <w:rsid w:val="002D40F6"/>
    <w:rsid w:val="002D42C2"/>
    <w:rsid w:val="002D4342"/>
    <w:rsid w:val="002D4776"/>
    <w:rsid w:val="002D4CFA"/>
    <w:rsid w:val="002D5398"/>
    <w:rsid w:val="002D58B4"/>
    <w:rsid w:val="002D5D59"/>
    <w:rsid w:val="002D67C0"/>
    <w:rsid w:val="002D6AE2"/>
    <w:rsid w:val="002D6EDB"/>
    <w:rsid w:val="002D6FA5"/>
    <w:rsid w:val="002D71E8"/>
    <w:rsid w:val="002D7388"/>
    <w:rsid w:val="002D7641"/>
    <w:rsid w:val="002D7763"/>
    <w:rsid w:val="002D781E"/>
    <w:rsid w:val="002D7898"/>
    <w:rsid w:val="002D7F1A"/>
    <w:rsid w:val="002D7FD9"/>
    <w:rsid w:val="002E00F5"/>
    <w:rsid w:val="002E0466"/>
    <w:rsid w:val="002E0DCD"/>
    <w:rsid w:val="002E0ED7"/>
    <w:rsid w:val="002E0FB3"/>
    <w:rsid w:val="002E1327"/>
    <w:rsid w:val="002E1437"/>
    <w:rsid w:val="002E17BA"/>
    <w:rsid w:val="002E19E3"/>
    <w:rsid w:val="002E1ECD"/>
    <w:rsid w:val="002E2A57"/>
    <w:rsid w:val="002E2C8A"/>
    <w:rsid w:val="002E2DCD"/>
    <w:rsid w:val="002E2E4E"/>
    <w:rsid w:val="002E30B2"/>
    <w:rsid w:val="002E33FD"/>
    <w:rsid w:val="002E37B4"/>
    <w:rsid w:val="002E3CDB"/>
    <w:rsid w:val="002E3DC3"/>
    <w:rsid w:val="002E3F91"/>
    <w:rsid w:val="002E4CA7"/>
    <w:rsid w:val="002E4DBC"/>
    <w:rsid w:val="002E4DD2"/>
    <w:rsid w:val="002E5326"/>
    <w:rsid w:val="002E53F0"/>
    <w:rsid w:val="002E55A6"/>
    <w:rsid w:val="002E55E0"/>
    <w:rsid w:val="002E569F"/>
    <w:rsid w:val="002E56A9"/>
    <w:rsid w:val="002E5A22"/>
    <w:rsid w:val="002E5CC9"/>
    <w:rsid w:val="002E608F"/>
    <w:rsid w:val="002E6732"/>
    <w:rsid w:val="002E6BF6"/>
    <w:rsid w:val="002E6F60"/>
    <w:rsid w:val="002E76F1"/>
    <w:rsid w:val="002E7827"/>
    <w:rsid w:val="002F011E"/>
    <w:rsid w:val="002F03B6"/>
    <w:rsid w:val="002F04D4"/>
    <w:rsid w:val="002F077C"/>
    <w:rsid w:val="002F08E5"/>
    <w:rsid w:val="002F09C1"/>
    <w:rsid w:val="002F0EA0"/>
    <w:rsid w:val="002F1FAB"/>
    <w:rsid w:val="002F2A13"/>
    <w:rsid w:val="002F2A6A"/>
    <w:rsid w:val="002F2B68"/>
    <w:rsid w:val="002F318A"/>
    <w:rsid w:val="002F346C"/>
    <w:rsid w:val="002F3500"/>
    <w:rsid w:val="002F3786"/>
    <w:rsid w:val="002F386A"/>
    <w:rsid w:val="002F3E33"/>
    <w:rsid w:val="002F41F6"/>
    <w:rsid w:val="002F543D"/>
    <w:rsid w:val="002F5556"/>
    <w:rsid w:val="002F5AF5"/>
    <w:rsid w:val="002F5EB7"/>
    <w:rsid w:val="002F6590"/>
    <w:rsid w:val="002F691A"/>
    <w:rsid w:val="002F6BA4"/>
    <w:rsid w:val="002F6C60"/>
    <w:rsid w:val="002F6D8F"/>
    <w:rsid w:val="002F6D99"/>
    <w:rsid w:val="002F7DE4"/>
    <w:rsid w:val="003000D7"/>
    <w:rsid w:val="003003AF"/>
    <w:rsid w:val="0030042E"/>
    <w:rsid w:val="00300B08"/>
    <w:rsid w:val="00300C60"/>
    <w:rsid w:val="00300D7D"/>
    <w:rsid w:val="00300E97"/>
    <w:rsid w:val="00301C9A"/>
    <w:rsid w:val="00301D17"/>
    <w:rsid w:val="003022D7"/>
    <w:rsid w:val="0030298F"/>
    <w:rsid w:val="00302A0C"/>
    <w:rsid w:val="00302B46"/>
    <w:rsid w:val="00302EDE"/>
    <w:rsid w:val="00303C3F"/>
    <w:rsid w:val="00303EC6"/>
    <w:rsid w:val="0030411E"/>
    <w:rsid w:val="00304491"/>
    <w:rsid w:val="003046EB"/>
    <w:rsid w:val="00304E93"/>
    <w:rsid w:val="0030520F"/>
    <w:rsid w:val="00305668"/>
    <w:rsid w:val="00305758"/>
    <w:rsid w:val="00305AC0"/>
    <w:rsid w:val="00305BF1"/>
    <w:rsid w:val="003060CB"/>
    <w:rsid w:val="003065F6"/>
    <w:rsid w:val="00306873"/>
    <w:rsid w:val="00306B35"/>
    <w:rsid w:val="00307F49"/>
    <w:rsid w:val="00307F6B"/>
    <w:rsid w:val="003106C7"/>
    <w:rsid w:val="00310909"/>
    <w:rsid w:val="00310D8C"/>
    <w:rsid w:val="003111F4"/>
    <w:rsid w:val="0031149A"/>
    <w:rsid w:val="00311E41"/>
    <w:rsid w:val="00311E9A"/>
    <w:rsid w:val="00312284"/>
    <w:rsid w:val="003125E3"/>
    <w:rsid w:val="00312CF6"/>
    <w:rsid w:val="003134EA"/>
    <w:rsid w:val="00313933"/>
    <w:rsid w:val="0031413E"/>
    <w:rsid w:val="003146EA"/>
    <w:rsid w:val="00314BDE"/>
    <w:rsid w:val="00315052"/>
    <w:rsid w:val="00315202"/>
    <w:rsid w:val="003153DD"/>
    <w:rsid w:val="00315467"/>
    <w:rsid w:val="003156AC"/>
    <w:rsid w:val="00315D0F"/>
    <w:rsid w:val="00315ED5"/>
    <w:rsid w:val="00315EF8"/>
    <w:rsid w:val="003160FF"/>
    <w:rsid w:val="0031681A"/>
    <w:rsid w:val="00316948"/>
    <w:rsid w:val="00316D8E"/>
    <w:rsid w:val="00316FC3"/>
    <w:rsid w:val="00317643"/>
    <w:rsid w:val="003202BE"/>
    <w:rsid w:val="00320B3B"/>
    <w:rsid w:val="00320B3C"/>
    <w:rsid w:val="00320C66"/>
    <w:rsid w:val="0032115A"/>
    <w:rsid w:val="00321871"/>
    <w:rsid w:val="003226BE"/>
    <w:rsid w:val="00322EE0"/>
    <w:rsid w:val="003230C7"/>
    <w:rsid w:val="003231F5"/>
    <w:rsid w:val="00323C3B"/>
    <w:rsid w:val="00324AA5"/>
    <w:rsid w:val="00324B28"/>
    <w:rsid w:val="00324E5C"/>
    <w:rsid w:val="003252C9"/>
    <w:rsid w:val="003252D7"/>
    <w:rsid w:val="003265F9"/>
    <w:rsid w:val="0032666C"/>
    <w:rsid w:val="0032694C"/>
    <w:rsid w:val="00326ECB"/>
    <w:rsid w:val="003271A5"/>
    <w:rsid w:val="003271FE"/>
    <w:rsid w:val="00327E87"/>
    <w:rsid w:val="00330052"/>
    <w:rsid w:val="003304C3"/>
    <w:rsid w:val="00330792"/>
    <w:rsid w:val="00331691"/>
    <w:rsid w:val="003319FA"/>
    <w:rsid w:val="00331CAB"/>
    <w:rsid w:val="00332AEF"/>
    <w:rsid w:val="00332DC2"/>
    <w:rsid w:val="00333691"/>
    <w:rsid w:val="00333AA3"/>
    <w:rsid w:val="00333DC4"/>
    <w:rsid w:val="003346BD"/>
    <w:rsid w:val="00334EAF"/>
    <w:rsid w:val="00334FE7"/>
    <w:rsid w:val="003356E2"/>
    <w:rsid w:val="00335808"/>
    <w:rsid w:val="00335AAE"/>
    <w:rsid w:val="00335E3C"/>
    <w:rsid w:val="003364CC"/>
    <w:rsid w:val="00336746"/>
    <w:rsid w:val="003371AF"/>
    <w:rsid w:val="0033799B"/>
    <w:rsid w:val="0034081B"/>
    <w:rsid w:val="00340950"/>
    <w:rsid w:val="00341264"/>
    <w:rsid w:val="003414CF"/>
    <w:rsid w:val="003414D4"/>
    <w:rsid w:val="00341CB6"/>
    <w:rsid w:val="00342593"/>
    <w:rsid w:val="003426BD"/>
    <w:rsid w:val="00342DD6"/>
    <w:rsid w:val="00342FCD"/>
    <w:rsid w:val="003432FC"/>
    <w:rsid w:val="00343711"/>
    <w:rsid w:val="00343992"/>
    <w:rsid w:val="00343BC9"/>
    <w:rsid w:val="0034442F"/>
    <w:rsid w:val="00344C59"/>
    <w:rsid w:val="00345A95"/>
    <w:rsid w:val="0034616E"/>
    <w:rsid w:val="00346B87"/>
    <w:rsid w:val="00346FAA"/>
    <w:rsid w:val="003473B2"/>
    <w:rsid w:val="00347670"/>
    <w:rsid w:val="00347A30"/>
    <w:rsid w:val="00347B45"/>
    <w:rsid w:val="00347C4F"/>
    <w:rsid w:val="00347DFE"/>
    <w:rsid w:val="003501D8"/>
    <w:rsid w:val="00350410"/>
    <w:rsid w:val="00350E51"/>
    <w:rsid w:val="003512ED"/>
    <w:rsid w:val="003512F2"/>
    <w:rsid w:val="00351462"/>
    <w:rsid w:val="0035154C"/>
    <w:rsid w:val="00351F6C"/>
    <w:rsid w:val="003522B5"/>
    <w:rsid w:val="00353101"/>
    <w:rsid w:val="003531BF"/>
    <w:rsid w:val="003535EF"/>
    <w:rsid w:val="00353F2F"/>
    <w:rsid w:val="00354454"/>
    <w:rsid w:val="003544F1"/>
    <w:rsid w:val="0035608A"/>
    <w:rsid w:val="003562F8"/>
    <w:rsid w:val="00356D1C"/>
    <w:rsid w:val="00356F7A"/>
    <w:rsid w:val="00356FA0"/>
    <w:rsid w:val="0035717B"/>
    <w:rsid w:val="00357270"/>
    <w:rsid w:val="00357307"/>
    <w:rsid w:val="00357915"/>
    <w:rsid w:val="00360307"/>
    <w:rsid w:val="003603BD"/>
    <w:rsid w:val="003606A3"/>
    <w:rsid w:val="0036084F"/>
    <w:rsid w:val="003608A7"/>
    <w:rsid w:val="00360AF1"/>
    <w:rsid w:val="00360C5B"/>
    <w:rsid w:val="00360C9A"/>
    <w:rsid w:val="00360E51"/>
    <w:rsid w:val="00361451"/>
    <w:rsid w:val="00361E44"/>
    <w:rsid w:val="0036289F"/>
    <w:rsid w:val="00362AF5"/>
    <w:rsid w:val="00363228"/>
    <w:rsid w:val="003635F4"/>
    <w:rsid w:val="00363641"/>
    <w:rsid w:val="00363766"/>
    <w:rsid w:val="00363A98"/>
    <w:rsid w:val="00363BB2"/>
    <w:rsid w:val="00363F4E"/>
    <w:rsid w:val="00363FBC"/>
    <w:rsid w:val="003643DD"/>
    <w:rsid w:val="003644DB"/>
    <w:rsid w:val="00364854"/>
    <w:rsid w:val="00364B04"/>
    <w:rsid w:val="003659D3"/>
    <w:rsid w:val="00366142"/>
    <w:rsid w:val="003663ED"/>
    <w:rsid w:val="00366550"/>
    <w:rsid w:val="00366739"/>
    <w:rsid w:val="003668D1"/>
    <w:rsid w:val="003669CB"/>
    <w:rsid w:val="003669DA"/>
    <w:rsid w:val="00367E74"/>
    <w:rsid w:val="00370170"/>
    <w:rsid w:val="00370997"/>
    <w:rsid w:val="00370B2A"/>
    <w:rsid w:val="00370FE1"/>
    <w:rsid w:val="00371045"/>
    <w:rsid w:val="00371244"/>
    <w:rsid w:val="00371663"/>
    <w:rsid w:val="00371A42"/>
    <w:rsid w:val="0037205A"/>
    <w:rsid w:val="0037208D"/>
    <w:rsid w:val="00372F80"/>
    <w:rsid w:val="00372F9C"/>
    <w:rsid w:val="003732EE"/>
    <w:rsid w:val="0037336C"/>
    <w:rsid w:val="003734B1"/>
    <w:rsid w:val="003735C7"/>
    <w:rsid w:val="00373639"/>
    <w:rsid w:val="00373D17"/>
    <w:rsid w:val="00373D68"/>
    <w:rsid w:val="00373EFE"/>
    <w:rsid w:val="0037432A"/>
    <w:rsid w:val="0037439D"/>
    <w:rsid w:val="00374448"/>
    <w:rsid w:val="00374866"/>
    <w:rsid w:val="00374B1A"/>
    <w:rsid w:val="00374C15"/>
    <w:rsid w:val="00374FE8"/>
    <w:rsid w:val="00375342"/>
    <w:rsid w:val="00375570"/>
    <w:rsid w:val="0037592E"/>
    <w:rsid w:val="0037631E"/>
    <w:rsid w:val="00376AEB"/>
    <w:rsid w:val="00376C8D"/>
    <w:rsid w:val="00376DC0"/>
    <w:rsid w:val="00377110"/>
    <w:rsid w:val="00377711"/>
    <w:rsid w:val="003801A3"/>
    <w:rsid w:val="00380D75"/>
    <w:rsid w:val="00381361"/>
    <w:rsid w:val="003813BE"/>
    <w:rsid w:val="003815E1"/>
    <w:rsid w:val="00381B69"/>
    <w:rsid w:val="00381D48"/>
    <w:rsid w:val="00381E3E"/>
    <w:rsid w:val="00381EE1"/>
    <w:rsid w:val="00382082"/>
    <w:rsid w:val="0038217C"/>
    <w:rsid w:val="003823B8"/>
    <w:rsid w:val="003826A1"/>
    <w:rsid w:val="00382845"/>
    <w:rsid w:val="00382C71"/>
    <w:rsid w:val="00383AAB"/>
    <w:rsid w:val="003849FD"/>
    <w:rsid w:val="00384FE3"/>
    <w:rsid w:val="003857C9"/>
    <w:rsid w:val="00385904"/>
    <w:rsid w:val="00385976"/>
    <w:rsid w:val="00386653"/>
    <w:rsid w:val="003868E3"/>
    <w:rsid w:val="00386F7B"/>
    <w:rsid w:val="00387654"/>
    <w:rsid w:val="00387669"/>
    <w:rsid w:val="00387762"/>
    <w:rsid w:val="00387CBC"/>
    <w:rsid w:val="0039019A"/>
    <w:rsid w:val="00390296"/>
    <w:rsid w:val="0039061E"/>
    <w:rsid w:val="0039083A"/>
    <w:rsid w:val="00390851"/>
    <w:rsid w:val="00391155"/>
    <w:rsid w:val="00391C2C"/>
    <w:rsid w:val="00391C6A"/>
    <w:rsid w:val="00392064"/>
    <w:rsid w:val="0039272A"/>
    <w:rsid w:val="00392B70"/>
    <w:rsid w:val="003931DA"/>
    <w:rsid w:val="003933FE"/>
    <w:rsid w:val="00393CC2"/>
    <w:rsid w:val="00393EC8"/>
    <w:rsid w:val="003946E5"/>
    <w:rsid w:val="00394767"/>
    <w:rsid w:val="0039538F"/>
    <w:rsid w:val="003955B7"/>
    <w:rsid w:val="003966F9"/>
    <w:rsid w:val="003974E9"/>
    <w:rsid w:val="003976B3"/>
    <w:rsid w:val="003976D3"/>
    <w:rsid w:val="003A013A"/>
    <w:rsid w:val="003A0279"/>
    <w:rsid w:val="003A0548"/>
    <w:rsid w:val="003A0913"/>
    <w:rsid w:val="003A0AF4"/>
    <w:rsid w:val="003A1069"/>
    <w:rsid w:val="003A173C"/>
    <w:rsid w:val="003A1DAA"/>
    <w:rsid w:val="003A2263"/>
    <w:rsid w:val="003A2355"/>
    <w:rsid w:val="003A2404"/>
    <w:rsid w:val="003A25E2"/>
    <w:rsid w:val="003A26AB"/>
    <w:rsid w:val="003A27B1"/>
    <w:rsid w:val="003A2C77"/>
    <w:rsid w:val="003A2DDA"/>
    <w:rsid w:val="003A328D"/>
    <w:rsid w:val="003A387D"/>
    <w:rsid w:val="003A3B29"/>
    <w:rsid w:val="003A411E"/>
    <w:rsid w:val="003A4804"/>
    <w:rsid w:val="003A4CF9"/>
    <w:rsid w:val="003A57A7"/>
    <w:rsid w:val="003A5996"/>
    <w:rsid w:val="003A5EF1"/>
    <w:rsid w:val="003A5FDD"/>
    <w:rsid w:val="003A5FED"/>
    <w:rsid w:val="003A6042"/>
    <w:rsid w:val="003A63C4"/>
    <w:rsid w:val="003A691E"/>
    <w:rsid w:val="003A6B6D"/>
    <w:rsid w:val="003A6C7B"/>
    <w:rsid w:val="003A70B9"/>
    <w:rsid w:val="003A7925"/>
    <w:rsid w:val="003B06B7"/>
    <w:rsid w:val="003B06D1"/>
    <w:rsid w:val="003B0966"/>
    <w:rsid w:val="003B09CD"/>
    <w:rsid w:val="003B1253"/>
    <w:rsid w:val="003B1609"/>
    <w:rsid w:val="003B1FA0"/>
    <w:rsid w:val="003B2E6A"/>
    <w:rsid w:val="003B2F3F"/>
    <w:rsid w:val="003B37CD"/>
    <w:rsid w:val="003B40AB"/>
    <w:rsid w:val="003B4655"/>
    <w:rsid w:val="003B4BA1"/>
    <w:rsid w:val="003B4DE6"/>
    <w:rsid w:val="003B5E3B"/>
    <w:rsid w:val="003B5F2F"/>
    <w:rsid w:val="003B6112"/>
    <w:rsid w:val="003B65F6"/>
    <w:rsid w:val="003B6AEB"/>
    <w:rsid w:val="003B6D91"/>
    <w:rsid w:val="003B6E94"/>
    <w:rsid w:val="003B6F5C"/>
    <w:rsid w:val="003B7413"/>
    <w:rsid w:val="003B78E0"/>
    <w:rsid w:val="003B7CAE"/>
    <w:rsid w:val="003B7CC0"/>
    <w:rsid w:val="003B7D2E"/>
    <w:rsid w:val="003C01BD"/>
    <w:rsid w:val="003C09BF"/>
    <w:rsid w:val="003C173D"/>
    <w:rsid w:val="003C19B0"/>
    <w:rsid w:val="003C1A91"/>
    <w:rsid w:val="003C1D01"/>
    <w:rsid w:val="003C1EED"/>
    <w:rsid w:val="003C2FF3"/>
    <w:rsid w:val="003C3A13"/>
    <w:rsid w:val="003C3FB6"/>
    <w:rsid w:val="003C404E"/>
    <w:rsid w:val="003C4377"/>
    <w:rsid w:val="003C449A"/>
    <w:rsid w:val="003C4679"/>
    <w:rsid w:val="003C488E"/>
    <w:rsid w:val="003C542E"/>
    <w:rsid w:val="003C5634"/>
    <w:rsid w:val="003C5BF7"/>
    <w:rsid w:val="003C7246"/>
    <w:rsid w:val="003C7BCA"/>
    <w:rsid w:val="003D0090"/>
    <w:rsid w:val="003D00AC"/>
    <w:rsid w:val="003D1065"/>
    <w:rsid w:val="003D18D0"/>
    <w:rsid w:val="003D2346"/>
    <w:rsid w:val="003D24EA"/>
    <w:rsid w:val="003D27B0"/>
    <w:rsid w:val="003D2EEB"/>
    <w:rsid w:val="003D33A0"/>
    <w:rsid w:val="003D33C6"/>
    <w:rsid w:val="003D34DF"/>
    <w:rsid w:val="003D3700"/>
    <w:rsid w:val="003D3B80"/>
    <w:rsid w:val="003D404C"/>
    <w:rsid w:val="003D428C"/>
    <w:rsid w:val="003D48BD"/>
    <w:rsid w:val="003D4E70"/>
    <w:rsid w:val="003D50FB"/>
    <w:rsid w:val="003D5217"/>
    <w:rsid w:val="003D521D"/>
    <w:rsid w:val="003D52E3"/>
    <w:rsid w:val="003D5C5E"/>
    <w:rsid w:val="003D7257"/>
    <w:rsid w:val="003D7745"/>
    <w:rsid w:val="003E090C"/>
    <w:rsid w:val="003E0D4C"/>
    <w:rsid w:val="003E1DFE"/>
    <w:rsid w:val="003E2261"/>
    <w:rsid w:val="003E253F"/>
    <w:rsid w:val="003E2561"/>
    <w:rsid w:val="003E311F"/>
    <w:rsid w:val="003E3681"/>
    <w:rsid w:val="003E36D5"/>
    <w:rsid w:val="003E38FC"/>
    <w:rsid w:val="003E4225"/>
    <w:rsid w:val="003E442C"/>
    <w:rsid w:val="003E538D"/>
    <w:rsid w:val="003E54E2"/>
    <w:rsid w:val="003E55F3"/>
    <w:rsid w:val="003E5C8B"/>
    <w:rsid w:val="003E5CF7"/>
    <w:rsid w:val="003E6554"/>
    <w:rsid w:val="003E65D3"/>
    <w:rsid w:val="003E66D6"/>
    <w:rsid w:val="003E6C90"/>
    <w:rsid w:val="003E781E"/>
    <w:rsid w:val="003E7965"/>
    <w:rsid w:val="003E7A20"/>
    <w:rsid w:val="003E7F78"/>
    <w:rsid w:val="003F0817"/>
    <w:rsid w:val="003F0854"/>
    <w:rsid w:val="003F0A55"/>
    <w:rsid w:val="003F0BB7"/>
    <w:rsid w:val="003F0E7F"/>
    <w:rsid w:val="003F0EAE"/>
    <w:rsid w:val="003F0ED5"/>
    <w:rsid w:val="003F0F97"/>
    <w:rsid w:val="003F1DE4"/>
    <w:rsid w:val="003F1EC7"/>
    <w:rsid w:val="003F2296"/>
    <w:rsid w:val="003F244D"/>
    <w:rsid w:val="003F279C"/>
    <w:rsid w:val="003F2FE7"/>
    <w:rsid w:val="003F307B"/>
    <w:rsid w:val="003F3970"/>
    <w:rsid w:val="003F3B22"/>
    <w:rsid w:val="003F3E5B"/>
    <w:rsid w:val="003F45D1"/>
    <w:rsid w:val="003F4896"/>
    <w:rsid w:val="003F4F8D"/>
    <w:rsid w:val="003F5060"/>
    <w:rsid w:val="003F5781"/>
    <w:rsid w:val="003F59CE"/>
    <w:rsid w:val="003F5A6C"/>
    <w:rsid w:val="003F5CCC"/>
    <w:rsid w:val="003F6AC1"/>
    <w:rsid w:val="003F7069"/>
    <w:rsid w:val="003F71D8"/>
    <w:rsid w:val="003F7E46"/>
    <w:rsid w:val="003F7FAD"/>
    <w:rsid w:val="00400104"/>
    <w:rsid w:val="004002B3"/>
    <w:rsid w:val="004019BC"/>
    <w:rsid w:val="004025F6"/>
    <w:rsid w:val="00402A6C"/>
    <w:rsid w:val="00402F24"/>
    <w:rsid w:val="004036CF"/>
    <w:rsid w:val="004048B4"/>
    <w:rsid w:val="00404AC9"/>
    <w:rsid w:val="00405819"/>
    <w:rsid w:val="00405D69"/>
    <w:rsid w:val="00405E74"/>
    <w:rsid w:val="00406378"/>
    <w:rsid w:val="0040647B"/>
    <w:rsid w:val="004065D1"/>
    <w:rsid w:val="00406B06"/>
    <w:rsid w:val="00406E9F"/>
    <w:rsid w:val="00406EB2"/>
    <w:rsid w:val="00406F8C"/>
    <w:rsid w:val="00407410"/>
    <w:rsid w:val="0040763B"/>
    <w:rsid w:val="00407BBE"/>
    <w:rsid w:val="00407E59"/>
    <w:rsid w:val="00410284"/>
    <w:rsid w:val="00410431"/>
    <w:rsid w:val="004105FC"/>
    <w:rsid w:val="004106C8"/>
    <w:rsid w:val="00410712"/>
    <w:rsid w:val="004108BE"/>
    <w:rsid w:val="0041099F"/>
    <w:rsid w:val="00410FE7"/>
    <w:rsid w:val="0041136C"/>
    <w:rsid w:val="0041193D"/>
    <w:rsid w:val="00411956"/>
    <w:rsid w:val="00411A2C"/>
    <w:rsid w:val="00411D10"/>
    <w:rsid w:val="00411FE6"/>
    <w:rsid w:val="0041265B"/>
    <w:rsid w:val="004127A4"/>
    <w:rsid w:val="00412DE5"/>
    <w:rsid w:val="00412F7B"/>
    <w:rsid w:val="004131FA"/>
    <w:rsid w:val="00413C64"/>
    <w:rsid w:val="00413DEF"/>
    <w:rsid w:val="00413F9A"/>
    <w:rsid w:val="00414091"/>
    <w:rsid w:val="004140FE"/>
    <w:rsid w:val="004143E4"/>
    <w:rsid w:val="0041449F"/>
    <w:rsid w:val="00414530"/>
    <w:rsid w:val="00414547"/>
    <w:rsid w:val="00414A0C"/>
    <w:rsid w:val="00414CC3"/>
    <w:rsid w:val="004153DC"/>
    <w:rsid w:val="00415763"/>
    <w:rsid w:val="00416900"/>
    <w:rsid w:val="00416D13"/>
    <w:rsid w:val="004174BE"/>
    <w:rsid w:val="004203BE"/>
    <w:rsid w:val="004203DE"/>
    <w:rsid w:val="00420C32"/>
    <w:rsid w:val="00420DA5"/>
    <w:rsid w:val="00420E94"/>
    <w:rsid w:val="004214D7"/>
    <w:rsid w:val="0042176D"/>
    <w:rsid w:val="00422ACD"/>
    <w:rsid w:val="00422BCA"/>
    <w:rsid w:val="004235DD"/>
    <w:rsid w:val="004236EE"/>
    <w:rsid w:val="004239DB"/>
    <w:rsid w:val="00423B7F"/>
    <w:rsid w:val="00423BE0"/>
    <w:rsid w:val="00423C42"/>
    <w:rsid w:val="00424234"/>
    <w:rsid w:val="004242EF"/>
    <w:rsid w:val="00424B45"/>
    <w:rsid w:val="0042507F"/>
    <w:rsid w:val="004250F6"/>
    <w:rsid w:val="00425880"/>
    <w:rsid w:val="00425DA0"/>
    <w:rsid w:val="00425F45"/>
    <w:rsid w:val="00426336"/>
    <w:rsid w:val="0042696B"/>
    <w:rsid w:val="00426D2E"/>
    <w:rsid w:val="00426D40"/>
    <w:rsid w:val="00426DD1"/>
    <w:rsid w:val="004277B2"/>
    <w:rsid w:val="00427A7B"/>
    <w:rsid w:val="00427AFB"/>
    <w:rsid w:val="00430045"/>
    <w:rsid w:val="004303FB"/>
    <w:rsid w:val="004308C6"/>
    <w:rsid w:val="00430E76"/>
    <w:rsid w:val="00430EE7"/>
    <w:rsid w:val="00431063"/>
    <w:rsid w:val="004313BE"/>
    <w:rsid w:val="004313F7"/>
    <w:rsid w:val="00431B65"/>
    <w:rsid w:val="0043207C"/>
    <w:rsid w:val="00432BB9"/>
    <w:rsid w:val="00433415"/>
    <w:rsid w:val="00433EE6"/>
    <w:rsid w:val="00434209"/>
    <w:rsid w:val="0043460F"/>
    <w:rsid w:val="0043505A"/>
    <w:rsid w:val="004350DA"/>
    <w:rsid w:val="00435D3F"/>
    <w:rsid w:val="004365BE"/>
    <w:rsid w:val="00436A1D"/>
    <w:rsid w:val="00436F36"/>
    <w:rsid w:val="004370E1"/>
    <w:rsid w:val="004374FB"/>
    <w:rsid w:val="00437AF4"/>
    <w:rsid w:val="0044095B"/>
    <w:rsid w:val="00440AE4"/>
    <w:rsid w:val="00440BFA"/>
    <w:rsid w:val="004412A1"/>
    <w:rsid w:val="004415EC"/>
    <w:rsid w:val="004417D2"/>
    <w:rsid w:val="00441990"/>
    <w:rsid w:val="0044208E"/>
    <w:rsid w:val="00442275"/>
    <w:rsid w:val="004426D1"/>
    <w:rsid w:val="00442CAC"/>
    <w:rsid w:val="004430F0"/>
    <w:rsid w:val="00443452"/>
    <w:rsid w:val="004434E3"/>
    <w:rsid w:val="0044362D"/>
    <w:rsid w:val="004438B3"/>
    <w:rsid w:val="00443C00"/>
    <w:rsid w:val="004440AC"/>
    <w:rsid w:val="00444315"/>
    <w:rsid w:val="004444E7"/>
    <w:rsid w:val="00444679"/>
    <w:rsid w:val="00444EFE"/>
    <w:rsid w:val="00445418"/>
    <w:rsid w:val="004454C6"/>
    <w:rsid w:val="0044556D"/>
    <w:rsid w:val="0044593D"/>
    <w:rsid w:val="00445B09"/>
    <w:rsid w:val="00445C93"/>
    <w:rsid w:val="00446297"/>
    <w:rsid w:val="0044630D"/>
    <w:rsid w:val="00446311"/>
    <w:rsid w:val="00446629"/>
    <w:rsid w:val="00446E70"/>
    <w:rsid w:val="004472EB"/>
    <w:rsid w:val="0044756A"/>
    <w:rsid w:val="00447BB3"/>
    <w:rsid w:val="00447F3C"/>
    <w:rsid w:val="004502BE"/>
    <w:rsid w:val="004506EF"/>
    <w:rsid w:val="004508C8"/>
    <w:rsid w:val="00450922"/>
    <w:rsid w:val="00450F88"/>
    <w:rsid w:val="0045174C"/>
    <w:rsid w:val="004517FF"/>
    <w:rsid w:val="00451D41"/>
    <w:rsid w:val="00451E48"/>
    <w:rsid w:val="004524E1"/>
    <w:rsid w:val="004528FF"/>
    <w:rsid w:val="00452BBF"/>
    <w:rsid w:val="00452DAB"/>
    <w:rsid w:val="00453030"/>
    <w:rsid w:val="00453547"/>
    <w:rsid w:val="00453549"/>
    <w:rsid w:val="00453AB6"/>
    <w:rsid w:val="004544D8"/>
    <w:rsid w:val="0045464E"/>
    <w:rsid w:val="004546C0"/>
    <w:rsid w:val="00454829"/>
    <w:rsid w:val="0045577B"/>
    <w:rsid w:val="00455800"/>
    <w:rsid w:val="00455CCA"/>
    <w:rsid w:val="0045667E"/>
    <w:rsid w:val="004569B4"/>
    <w:rsid w:val="00456EF2"/>
    <w:rsid w:val="004578CC"/>
    <w:rsid w:val="0046065A"/>
    <w:rsid w:val="0046073E"/>
    <w:rsid w:val="00460766"/>
    <w:rsid w:val="00460DAD"/>
    <w:rsid w:val="00460DD6"/>
    <w:rsid w:val="00461874"/>
    <w:rsid w:val="004618D4"/>
    <w:rsid w:val="00461B85"/>
    <w:rsid w:val="004620C0"/>
    <w:rsid w:val="00462125"/>
    <w:rsid w:val="004623E6"/>
    <w:rsid w:val="00462695"/>
    <w:rsid w:val="00462AE8"/>
    <w:rsid w:val="004631DC"/>
    <w:rsid w:val="0046375D"/>
    <w:rsid w:val="00464047"/>
    <w:rsid w:val="00464214"/>
    <w:rsid w:val="00464287"/>
    <w:rsid w:val="004645AC"/>
    <w:rsid w:val="00464DFC"/>
    <w:rsid w:val="00465407"/>
    <w:rsid w:val="00465B82"/>
    <w:rsid w:val="00465EBB"/>
    <w:rsid w:val="00466766"/>
    <w:rsid w:val="00467477"/>
    <w:rsid w:val="00467FB4"/>
    <w:rsid w:val="004701DC"/>
    <w:rsid w:val="00470355"/>
    <w:rsid w:val="004707AF"/>
    <w:rsid w:val="004712E6"/>
    <w:rsid w:val="00471ACA"/>
    <w:rsid w:val="00471D10"/>
    <w:rsid w:val="00471DC6"/>
    <w:rsid w:val="00472073"/>
    <w:rsid w:val="0047279B"/>
    <w:rsid w:val="00472D5E"/>
    <w:rsid w:val="00472EA2"/>
    <w:rsid w:val="00472EEE"/>
    <w:rsid w:val="00473106"/>
    <w:rsid w:val="0047315A"/>
    <w:rsid w:val="004733A2"/>
    <w:rsid w:val="00473903"/>
    <w:rsid w:val="00473964"/>
    <w:rsid w:val="004739EF"/>
    <w:rsid w:val="00473E45"/>
    <w:rsid w:val="0047428A"/>
    <w:rsid w:val="00474613"/>
    <w:rsid w:val="0047466B"/>
    <w:rsid w:val="0047488B"/>
    <w:rsid w:val="0047596A"/>
    <w:rsid w:val="004762E1"/>
    <w:rsid w:val="0047694D"/>
    <w:rsid w:val="004772C3"/>
    <w:rsid w:val="00480393"/>
    <w:rsid w:val="004803E3"/>
    <w:rsid w:val="004809E4"/>
    <w:rsid w:val="00480D22"/>
    <w:rsid w:val="00480DEC"/>
    <w:rsid w:val="0048126A"/>
    <w:rsid w:val="0048126D"/>
    <w:rsid w:val="004813A5"/>
    <w:rsid w:val="004815B2"/>
    <w:rsid w:val="00481DEF"/>
    <w:rsid w:val="00482238"/>
    <w:rsid w:val="00482678"/>
    <w:rsid w:val="004829C2"/>
    <w:rsid w:val="004832CE"/>
    <w:rsid w:val="004832E6"/>
    <w:rsid w:val="00483903"/>
    <w:rsid w:val="004839FA"/>
    <w:rsid w:val="00484619"/>
    <w:rsid w:val="00484839"/>
    <w:rsid w:val="00485039"/>
    <w:rsid w:val="00486623"/>
    <w:rsid w:val="004867C2"/>
    <w:rsid w:val="00486907"/>
    <w:rsid w:val="00486A1E"/>
    <w:rsid w:val="00486BD7"/>
    <w:rsid w:val="00486E6C"/>
    <w:rsid w:val="00486EAE"/>
    <w:rsid w:val="004873B7"/>
    <w:rsid w:val="0048751E"/>
    <w:rsid w:val="00487EEC"/>
    <w:rsid w:val="0049040F"/>
    <w:rsid w:val="00490476"/>
    <w:rsid w:val="00490FED"/>
    <w:rsid w:val="00491E1A"/>
    <w:rsid w:val="0049210C"/>
    <w:rsid w:val="00492B7A"/>
    <w:rsid w:val="00492DD4"/>
    <w:rsid w:val="00493222"/>
    <w:rsid w:val="004939A9"/>
    <w:rsid w:val="00493FFB"/>
    <w:rsid w:val="00494203"/>
    <w:rsid w:val="004947AC"/>
    <w:rsid w:val="00494DD7"/>
    <w:rsid w:val="00494F23"/>
    <w:rsid w:val="00495032"/>
    <w:rsid w:val="0049553C"/>
    <w:rsid w:val="00495743"/>
    <w:rsid w:val="00496C0E"/>
    <w:rsid w:val="00497909"/>
    <w:rsid w:val="00497F10"/>
    <w:rsid w:val="00497F31"/>
    <w:rsid w:val="004A0299"/>
    <w:rsid w:val="004A0583"/>
    <w:rsid w:val="004A0715"/>
    <w:rsid w:val="004A077E"/>
    <w:rsid w:val="004A09ED"/>
    <w:rsid w:val="004A114E"/>
    <w:rsid w:val="004A126C"/>
    <w:rsid w:val="004A12B1"/>
    <w:rsid w:val="004A144E"/>
    <w:rsid w:val="004A17D9"/>
    <w:rsid w:val="004A1CC7"/>
    <w:rsid w:val="004A2337"/>
    <w:rsid w:val="004A2654"/>
    <w:rsid w:val="004A3035"/>
    <w:rsid w:val="004A33BA"/>
    <w:rsid w:val="004A38A0"/>
    <w:rsid w:val="004A3BB4"/>
    <w:rsid w:val="004A4181"/>
    <w:rsid w:val="004A4A18"/>
    <w:rsid w:val="004A4B0A"/>
    <w:rsid w:val="004A4EAB"/>
    <w:rsid w:val="004A4F0F"/>
    <w:rsid w:val="004A59D0"/>
    <w:rsid w:val="004A624A"/>
    <w:rsid w:val="004A6D1C"/>
    <w:rsid w:val="004A6DF1"/>
    <w:rsid w:val="004A75EC"/>
    <w:rsid w:val="004A7B58"/>
    <w:rsid w:val="004A7FF0"/>
    <w:rsid w:val="004B04A1"/>
    <w:rsid w:val="004B094B"/>
    <w:rsid w:val="004B0A1B"/>
    <w:rsid w:val="004B147F"/>
    <w:rsid w:val="004B1545"/>
    <w:rsid w:val="004B1A9D"/>
    <w:rsid w:val="004B1B15"/>
    <w:rsid w:val="004B1FBA"/>
    <w:rsid w:val="004B215B"/>
    <w:rsid w:val="004B265B"/>
    <w:rsid w:val="004B2804"/>
    <w:rsid w:val="004B3041"/>
    <w:rsid w:val="004B3305"/>
    <w:rsid w:val="004B3940"/>
    <w:rsid w:val="004B39F5"/>
    <w:rsid w:val="004B3B53"/>
    <w:rsid w:val="004B3EFE"/>
    <w:rsid w:val="004B3FE4"/>
    <w:rsid w:val="004B423E"/>
    <w:rsid w:val="004B45C0"/>
    <w:rsid w:val="004B48E5"/>
    <w:rsid w:val="004B4B39"/>
    <w:rsid w:val="004B5093"/>
    <w:rsid w:val="004B5ABA"/>
    <w:rsid w:val="004B5D0B"/>
    <w:rsid w:val="004B60C8"/>
    <w:rsid w:val="004B688D"/>
    <w:rsid w:val="004B7410"/>
    <w:rsid w:val="004B74E3"/>
    <w:rsid w:val="004B7D39"/>
    <w:rsid w:val="004C0130"/>
    <w:rsid w:val="004C034E"/>
    <w:rsid w:val="004C07CD"/>
    <w:rsid w:val="004C0A6D"/>
    <w:rsid w:val="004C0F8C"/>
    <w:rsid w:val="004C1432"/>
    <w:rsid w:val="004C149A"/>
    <w:rsid w:val="004C169E"/>
    <w:rsid w:val="004C1CA8"/>
    <w:rsid w:val="004C1CC0"/>
    <w:rsid w:val="004C2394"/>
    <w:rsid w:val="004C26C1"/>
    <w:rsid w:val="004C28AE"/>
    <w:rsid w:val="004C2C04"/>
    <w:rsid w:val="004C2C52"/>
    <w:rsid w:val="004C36AD"/>
    <w:rsid w:val="004C3902"/>
    <w:rsid w:val="004C3A3F"/>
    <w:rsid w:val="004C3F86"/>
    <w:rsid w:val="004C4003"/>
    <w:rsid w:val="004C45F3"/>
    <w:rsid w:val="004C46FC"/>
    <w:rsid w:val="004C483C"/>
    <w:rsid w:val="004C513C"/>
    <w:rsid w:val="004C5202"/>
    <w:rsid w:val="004C5D93"/>
    <w:rsid w:val="004C6073"/>
    <w:rsid w:val="004C60FC"/>
    <w:rsid w:val="004C642C"/>
    <w:rsid w:val="004C6952"/>
    <w:rsid w:val="004C6AA4"/>
    <w:rsid w:val="004C6D07"/>
    <w:rsid w:val="004C6D1C"/>
    <w:rsid w:val="004C70A2"/>
    <w:rsid w:val="004C769B"/>
    <w:rsid w:val="004C77FF"/>
    <w:rsid w:val="004C7901"/>
    <w:rsid w:val="004C7F50"/>
    <w:rsid w:val="004D03E8"/>
    <w:rsid w:val="004D1014"/>
    <w:rsid w:val="004D139A"/>
    <w:rsid w:val="004D14E0"/>
    <w:rsid w:val="004D1EDB"/>
    <w:rsid w:val="004D251D"/>
    <w:rsid w:val="004D28A7"/>
    <w:rsid w:val="004D32BD"/>
    <w:rsid w:val="004D3672"/>
    <w:rsid w:val="004D39FC"/>
    <w:rsid w:val="004D46A9"/>
    <w:rsid w:val="004D4E9C"/>
    <w:rsid w:val="004D54BD"/>
    <w:rsid w:val="004D5977"/>
    <w:rsid w:val="004D599D"/>
    <w:rsid w:val="004D5BB9"/>
    <w:rsid w:val="004D5D0A"/>
    <w:rsid w:val="004D6020"/>
    <w:rsid w:val="004D6033"/>
    <w:rsid w:val="004D6195"/>
    <w:rsid w:val="004D648A"/>
    <w:rsid w:val="004D6608"/>
    <w:rsid w:val="004D6765"/>
    <w:rsid w:val="004D6A27"/>
    <w:rsid w:val="004D7457"/>
    <w:rsid w:val="004D7880"/>
    <w:rsid w:val="004E01D6"/>
    <w:rsid w:val="004E0490"/>
    <w:rsid w:val="004E0E92"/>
    <w:rsid w:val="004E0E9E"/>
    <w:rsid w:val="004E1173"/>
    <w:rsid w:val="004E12ED"/>
    <w:rsid w:val="004E1572"/>
    <w:rsid w:val="004E1879"/>
    <w:rsid w:val="004E1B47"/>
    <w:rsid w:val="004E1E1F"/>
    <w:rsid w:val="004E258E"/>
    <w:rsid w:val="004E2CCE"/>
    <w:rsid w:val="004E3B2B"/>
    <w:rsid w:val="004E3EE1"/>
    <w:rsid w:val="004E41AA"/>
    <w:rsid w:val="004E4A72"/>
    <w:rsid w:val="004E4A8A"/>
    <w:rsid w:val="004E4D0B"/>
    <w:rsid w:val="004E4E2B"/>
    <w:rsid w:val="004E5083"/>
    <w:rsid w:val="004E5C27"/>
    <w:rsid w:val="004E5E14"/>
    <w:rsid w:val="004E5E94"/>
    <w:rsid w:val="004E5F98"/>
    <w:rsid w:val="004E6A9F"/>
    <w:rsid w:val="004E6AF2"/>
    <w:rsid w:val="004E6BBD"/>
    <w:rsid w:val="004E7970"/>
    <w:rsid w:val="004E7AD0"/>
    <w:rsid w:val="004F0EE0"/>
    <w:rsid w:val="004F14F0"/>
    <w:rsid w:val="004F1FA9"/>
    <w:rsid w:val="004F231A"/>
    <w:rsid w:val="004F2886"/>
    <w:rsid w:val="004F2AB4"/>
    <w:rsid w:val="004F32C6"/>
    <w:rsid w:val="004F380E"/>
    <w:rsid w:val="004F3D61"/>
    <w:rsid w:val="004F3DDB"/>
    <w:rsid w:val="004F3E27"/>
    <w:rsid w:val="004F3F21"/>
    <w:rsid w:val="004F47C3"/>
    <w:rsid w:val="004F4F89"/>
    <w:rsid w:val="004F501B"/>
    <w:rsid w:val="004F5489"/>
    <w:rsid w:val="004F561C"/>
    <w:rsid w:val="004F56CA"/>
    <w:rsid w:val="004F5CB8"/>
    <w:rsid w:val="004F5E2D"/>
    <w:rsid w:val="004F6173"/>
    <w:rsid w:val="004F6373"/>
    <w:rsid w:val="004F6B1A"/>
    <w:rsid w:val="004F719E"/>
    <w:rsid w:val="004F7AF4"/>
    <w:rsid w:val="005004F8"/>
    <w:rsid w:val="005009D3"/>
    <w:rsid w:val="00500FC8"/>
    <w:rsid w:val="0050184D"/>
    <w:rsid w:val="00501880"/>
    <w:rsid w:val="00501A97"/>
    <w:rsid w:val="00501FE5"/>
    <w:rsid w:val="0050223E"/>
    <w:rsid w:val="0050255B"/>
    <w:rsid w:val="00502590"/>
    <w:rsid w:val="00502C44"/>
    <w:rsid w:val="00502FEA"/>
    <w:rsid w:val="0050335C"/>
    <w:rsid w:val="005040BF"/>
    <w:rsid w:val="005044BF"/>
    <w:rsid w:val="00505242"/>
    <w:rsid w:val="00505453"/>
    <w:rsid w:val="005059C6"/>
    <w:rsid w:val="00506044"/>
    <w:rsid w:val="00506447"/>
    <w:rsid w:val="005064FB"/>
    <w:rsid w:val="00506754"/>
    <w:rsid w:val="00506800"/>
    <w:rsid w:val="00506A3D"/>
    <w:rsid w:val="00506C18"/>
    <w:rsid w:val="005070C7"/>
    <w:rsid w:val="005076B2"/>
    <w:rsid w:val="005076F1"/>
    <w:rsid w:val="00507A51"/>
    <w:rsid w:val="00507B44"/>
    <w:rsid w:val="00507EBD"/>
    <w:rsid w:val="00510093"/>
    <w:rsid w:val="00510244"/>
    <w:rsid w:val="005107BC"/>
    <w:rsid w:val="00510E67"/>
    <w:rsid w:val="00510F6C"/>
    <w:rsid w:val="0051136A"/>
    <w:rsid w:val="00511440"/>
    <w:rsid w:val="005114CC"/>
    <w:rsid w:val="005114F3"/>
    <w:rsid w:val="00512497"/>
    <w:rsid w:val="005125CB"/>
    <w:rsid w:val="00512735"/>
    <w:rsid w:val="005131F4"/>
    <w:rsid w:val="005132B5"/>
    <w:rsid w:val="0051373C"/>
    <w:rsid w:val="005137FF"/>
    <w:rsid w:val="00514238"/>
    <w:rsid w:val="0051430C"/>
    <w:rsid w:val="005143D6"/>
    <w:rsid w:val="00514608"/>
    <w:rsid w:val="00514D9F"/>
    <w:rsid w:val="0051562A"/>
    <w:rsid w:val="00516215"/>
    <w:rsid w:val="00517145"/>
    <w:rsid w:val="00517B1C"/>
    <w:rsid w:val="00517D80"/>
    <w:rsid w:val="0052013A"/>
    <w:rsid w:val="0052042C"/>
    <w:rsid w:val="00520CF7"/>
    <w:rsid w:val="00520F83"/>
    <w:rsid w:val="005216FF"/>
    <w:rsid w:val="00522630"/>
    <w:rsid w:val="00522E06"/>
    <w:rsid w:val="00522E0A"/>
    <w:rsid w:val="005233B8"/>
    <w:rsid w:val="0052369C"/>
    <w:rsid w:val="00523931"/>
    <w:rsid w:val="00523BC5"/>
    <w:rsid w:val="00523CB1"/>
    <w:rsid w:val="00523CC2"/>
    <w:rsid w:val="0052452D"/>
    <w:rsid w:val="0052499D"/>
    <w:rsid w:val="00524B00"/>
    <w:rsid w:val="00524EB2"/>
    <w:rsid w:val="0052522C"/>
    <w:rsid w:val="005252D6"/>
    <w:rsid w:val="0052542D"/>
    <w:rsid w:val="00525BF5"/>
    <w:rsid w:val="00526231"/>
    <w:rsid w:val="0052685B"/>
    <w:rsid w:val="0052689A"/>
    <w:rsid w:val="00526AA3"/>
    <w:rsid w:val="00527165"/>
    <w:rsid w:val="005276B5"/>
    <w:rsid w:val="00527E04"/>
    <w:rsid w:val="00527E8A"/>
    <w:rsid w:val="00530949"/>
    <w:rsid w:val="005311B7"/>
    <w:rsid w:val="00531685"/>
    <w:rsid w:val="00531B5D"/>
    <w:rsid w:val="00531F22"/>
    <w:rsid w:val="00531FE8"/>
    <w:rsid w:val="00532B08"/>
    <w:rsid w:val="00534061"/>
    <w:rsid w:val="00534904"/>
    <w:rsid w:val="0053513C"/>
    <w:rsid w:val="00535414"/>
    <w:rsid w:val="00535CB4"/>
    <w:rsid w:val="00535E7C"/>
    <w:rsid w:val="00535F3A"/>
    <w:rsid w:val="00536BF1"/>
    <w:rsid w:val="00536E97"/>
    <w:rsid w:val="005370E5"/>
    <w:rsid w:val="00537588"/>
    <w:rsid w:val="005375C0"/>
    <w:rsid w:val="00537649"/>
    <w:rsid w:val="00537BEC"/>
    <w:rsid w:val="00537DF9"/>
    <w:rsid w:val="00537E4A"/>
    <w:rsid w:val="0054022D"/>
    <w:rsid w:val="005405CD"/>
    <w:rsid w:val="00540790"/>
    <w:rsid w:val="00540A9A"/>
    <w:rsid w:val="00540AE9"/>
    <w:rsid w:val="00540B29"/>
    <w:rsid w:val="0054146E"/>
    <w:rsid w:val="005414F1"/>
    <w:rsid w:val="00541903"/>
    <w:rsid w:val="005419B5"/>
    <w:rsid w:val="005419FA"/>
    <w:rsid w:val="00541E96"/>
    <w:rsid w:val="00542038"/>
    <w:rsid w:val="00542330"/>
    <w:rsid w:val="00542E79"/>
    <w:rsid w:val="00542F22"/>
    <w:rsid w:val="00543481"/>
    <w:rsid w:val="0054367D"/>
    <w:rsid w:val="00543B54"/>
    <w:rsid w:val="00543D9F"/>
    <w:rsid w:val="00543FEF"/>
    <w:rsid w:val="005441D9"/>
    <w:rsid w:val="005442BB"/>
    <w:rsid w:val="00544602"/>
    <w:rsid w:val="00544BD7"/>
    <w:rsid w:val="00544CC2"/>
    <w:rsid w:val="00544EF0"/>
    <w:rsid w:val="005454C0"/>
    <w:rsid w:val="005456FA"/>
    <w:rsid w:val="00545B42"/>
    <w:rsid w:val="00545F8F"/>
    <w:rsid w:val="00547193"/>
    <w:rsid w:val="00547BC1"/>
    <w:rsid w:val="00550261"/>
    <w:rsid w:val="00550C25"/>
    <w:rsid w:val="00552391"/>
    <w:rsid w:val="005523DC"/>
    <w:rsid w:val="0055283B"/>
    <w:rsid w:val="00552A6F"/>
    <w:rsid w:val="00552C5E"/>
    <w:rsid w:val="00552DFE"/>
    <w:rsid w:val="0055368A"/>
    <w:rsid w:val="00553965"/>
    <w:rsid w:val="0055399B"/>
    <w:rsid w:val="00553B9C"/>
    <w:rsid w:val="00554558"/>
    <w:rsid w:val="005546AF"/>
    <w:rsid w:val="00554A3F"/>
    <w:rsid w:val="00554CF5"/>
    <w:rsid w:val="005552D3"/>
    <w:rsid w:val="005553B1"/>
    <w:rsid w:val="00555557"/>
    <w:rsid w:val="00555652"/>
    <w:rsid w:val="00555767"/>
    <w:rsid w:val="0055598D"/>
    <w:rsid w:val="00555C93"/>
    <w:rsid w:val="00555EDC"/>
    <w:rsid w:val="00556853"/>
    <w:rsid w:val="0055786E"/>
    <w:rsid w:val="00557B3B"/>
    <w:rsid w:val="00560032"/>
    <w:rsid w:val="00560548"/>
    <w:rsid w:val="005606DA"/>
    <w:rsid w:val="005608BC"/>
    <w:rsid w:val="00560ED1"/>
    <w:rsid w:val="00560EE1"/>
    <w:rsid w:val="00560EE2"/>
    <w:rsid w:val="0056122A"/>
    <w:rsid w:val="00561240"/>
    <w:rsid w:val="0056126E"/>
    <w:rsid w:val="005617A5"/>
    <w:rsid w:val="00561C2E"/>
    <w:rsid w:val="00562355"/>
    <w:rsid w:val="00562CF7"/>
    <w:rsid w:val="00562D3E"/>
    <w:rsid w:val="00563030"/>
    <w:rsid w:val="0056314A"/>
    <w:rsid w:val="00563237"/>
    <w:rsid w:val="00563563"/>
    <w:rsid w:val="00563747"/>
    <w:rsid w:val="00563A8C"/>
    <w:rsid w:val="005643CE"/>
    <w:rsid w:val="0056465B"/>
    <w:rsid w:val="00564A7E"/>
    <w:rsid w:val="00564DF6"/>
    <w:rsid w:val="0056527D"/>
    <w:rsid w:val="005654BE"/>
    <w:rsid w:val="00565794"/>
    <w:rsid w:val="00566661"/>
    <w:rsid w:val="00566C57"/>
    <w:rsid w:val="005670F3"/>
    <w:rsid w:val="00567743"/>
    <w:rsid w:val="005705F3"/>
    <w:rsid w:val="005706DE"/>
    <w:rsid w:val="00570942"/>
    <w:rsid w:val="00571057"/>
    <w:rsid w:val="00571107"/>
    <w:rsid w:val="0057131F"/>
    <w:rsid w:val="0057178B"/>
    <w:rsid w:val="0057228A"/>
    <w:rsid w:val="005723EB"/>
    <w:rsid w:val="005730C7"/>
    <w:rsid w:val="0057336D"/>
    <w:rsid w:val="0057379B"/>
    <w:rsid w:val="00573F06"/>
    <w:rsid w:val="00574113"/>
    <w:rsid w:val="005741DD"/>
    <w:rsid w:val="00574500"/>
    <w:rsid w:val="00574543"/>
    <w:rsid w:val="0057460E"/>
    <w:rsid w:val="0057476B"/>
    <w:rsid w:val="00574BD5"/>
    <w:rsid w:val="00574CD3"/>
    <w:rsid w:val="0057528C"/>
    <w:rsid w:val="00575797"/>
    <w:rsid w:val="00575953"/>
    <w:rsid w:val="00575A9B"/>
    <w:rsid w:val="00575DB1"/>
    <w:rsid w:val="0057600A"/>
    <w:rsid w:val="005763C9"/>
    <w:rsid w:val="00576B1C"/>
    <w:rsid w:val="00576C9B"/>
    <w:rsid w:val="00576D5A"/>
    <w:rsid w:val="00577244"/>
    <w:rsid w:val="005773B6"/>
    <w:rsid w:val="005775C3"/>
    <w:rsid w:val="00577ABE"/>
    <w:rsid w:val="0058007D"/>
    <w:rsid w:val="00580F98"/>
    <w:rsid w:val="005816D1"/>
    <w:rsid w:val="00581747"/>
    <w:rsid w:val="0058180F"/>
    <w:rsid w:val="0058199F"/>
    <w:rsid w:val="00581D50"/>
    <w:rsid w:val="00581F42"/>
    <w:rsid w:val="0058229A"/>
    <w:rsid w:val="005825BE"/>
    <w:rsid w:val="00582607"/>
    <w:rsid w:val="00582952"/>
    <w:rsid w:val="00582F2F"/>
    <w:rsid w:val="0058357D"/>
    <w:rsid w:val="005836D9"/>
    <w:rsid w:val="005836E1"/>
    <w:rsid w:val="00583806"/>
    <w:rsid w:val="00583CBA"/>
    <w:rsid w:val="00585095"/>
    <w:rsid w:val="005854DA"/>
    <w:rsid w:val="00585716"/>
    <w:rsid w:val="00585E2E"/>
    <w:rsid w:val="00586069"/>
    <w:rsid w:val="0058632E"/>
    <w:rsid w:val="005867BD"/>
    <w:rsid w:val="00586968"/>
    <w:rsid w:val="00586A6A"/>
    <w:rsid w:val="00587830"/>
    <w:rsid w:val="00587869"/>
    <w:rsid w:val="00590293"/>
    <w:rsid w:val="00590F58"/>
    <w:rsid w:val="005910C7"/>
    <w:rsid w:val="00591231"/>
    <w:rsid w:val="00591650"/>
    <w:rsid w:val="005918CD"/>
    <w:rsid w:val="005920EB"/>
    <w:rsid w:val="005921A4"/>
    <w:rsid w:val="00592A80"/>
    <w:rsid w:val="005935B5"/>
    <w:rsid w:val="00593959"/>
    <w:rsid w:val="0059402D"/>
    <w:rsid w:val="00594082"/>
    <w:rsid w:val="00594328"/>
    <w:rsid w:val="0059480A"/>
    <w:rsid w:val="0059503C"/>
    <w:rsid w:val="005952D1"/>
    <w:rsid w:val="0059561C"/>
    <w:rsid w:val="00595731"/>
    <w:rsid w:val="00595F78"/>
    <w:rsid w:val="005961B6"/>
    <w:rsid w:val="00596A71"/>
    <w:rsid w:val="00596EF9"/>
    <w:rsid w:val="00597276"/>
    <w:rsid w:val="00597407"/>
    <w:rsid w:val="005974DA"/>
    <w:rsid w:val="00597EB4"/>
    <w:rsid w:val="005A01C3"/>
    <w:rsid w:val="005A0242"/>
    <w:rsid w:val="005A101B"/>
    <w:rsid w:val="005A1624"/>
    <w:rsid w:val="005A1974"/>
    <w:rsid w:val="005A2118"/>
    <w:rsid w:val="005A2223"/>
    <w:rsid w:val="005A2AD2"/>
    <w:rsid w:val="005A3656"/>
    <w:rsid w:val="005A3F1F"/>
    <w:rsid w:val="005A4102"/>
    <w:rsid w:val="005A4C1D"/>
    <w:rsid w:val="005A4DBA"/>
    <w:rsid w:val="005A4F34"/>
    <w:rsid w:val="005A505B"/>
    <w:rsid w:val="005A53DD"/>
    <w:rsid w:val="005A5615"/>
    <w:rsid w:val="005A581F"/>
    <w:rsid w:val="005A5A59"/>
    <w:rsid w:val="005A5B4C"/>
    <w:rsid w:val="005A5FAD"/>
    <w:rsid w:val="005A65C1"/>
    <w:rsid w:val="005A686D"/>
    <w:rsid w:val="005A6913"/>
    <w:rsid w:val="005A6F16"/>
    <w:rsid w:val="005A70B2"/>
    <w:rsid w:val="005A7AA4"/>
    <w:rsid w:val="005A7B4F"/>
    <w:rsid w:val="005A7C2D"/>
    <w:rsid w:val="005A7DEB"/>
    <w:rsid w:val="005B0014"/>
    <w:rsid w:val="005B08AF"/>
    <w:rsid w:val="005B11C0"/>
    <w:rsid w:val="005B187C"/>
    <w:rsid w:val="005B18D8"/>
    <w:rsid w:val="005B26E7"/>
    <w:rsid w:val="005B2761"/>
    <w:rsid w:val="005B29FD"/>
    <w:rsid w:val="005B2B19"/>
    <w:rsid w:val="005B2C0C"/>
    <w:rsid w:val="005B2E47"/>
    <w:rsid w:val="005B33E2"/>
    <w:rsid w:val="005B34C6"/>
    <w:rsid w:val="005B3608"/>
    <w:rsid w:val="005B3C0C"/>
    <w:rsid w:val="005B3CDE"/>
    <w:rsid w:val="005B4832"/>
    <w:rsid w:val="005B4F72"/>
    <w:rsid w:val="005B5588"/>
    <w:rsid w:val="005B626C"/>
    <w:rsid w:val="005B63F4"/>
    <w:rsid w:val="005B6C3D"/>
    <w:rsid w:val="005B734E"/>
    <w:rsid w:val="005B749B"/>
    <w:rsid w:val="005B77C0"/>
    <w:rsid w:val="005B7BC6"/>
    <w:rsid w:val="005C0769"/>
    <w:rsid w:val="005C07E5"/>
    <w:rsid w:val="005C0B12"/>
    <w:rsid w:val="005C102E"/>
    <w:rsid w:val="005C123A"/>
    <w:rsid w:val="005C14CE"/>
    <w:rsid w:val="005C1ADE"/>
    <w:rsid w:val="005C1D84"/>
    <w:rsid w:val="005C240D"/>
    <w:rsid w:val="005C266D"/>
    <w:rsid w:val="005C2E3D"/>
    <w:rsid w:val="005C377F"/>
    <w:rsid w:val="005C37DB"/>
    <w:rsid w:val="005C391D"/>
    <w:rsid w:val="005C3982"/>
    <w:rsid w:val="005C3D71"/>
    <w:rsid w:val="005C426C"/>
    <w:rsid w:val="005C4432"/>
    <w:rsid w:val="005C58CB"/>
    <w:rsid w:val="005C62D1"/>
    <w:rsid w:val="005C644A"/>
    <w:rsid w:val="005C66AA"/>
    <w:rsid w:val="005C69A7"/>
    <w:rsid w:val="005C7727"/>
    <w:rsid w:val="005C79FE"/>
    <w:rsid w:val="005D006B"/>
    <w:rsid w:val="005D01C6"/>
    <w:rsid w:val="005D05CA"/>
    <w:rsid w:val="005D06C0"/>
    <w:rsid w:val="005D0862"/>
    <w:rsid w:val="005D0DC8"/>
    <w:rsid w:val="005D0F55"/>
    <w:rsid w:val="005D15C0"/>
    <w:rsid w:val="005D1786"/>
    <w:rsid w:val="005D1E77"/>
    <w:rsid w:val="005D20D1"/>
    <w:rsid w:val="005D2212"/>
    <w:rsid w:val="005D2459"/>
    <w:rsid w:val="005D2C31"/>
    <w:rsid w:val="005D366C"/>
    <w:rsid w:val="005D39C2"/>
    <w:rsid w:val="005D3E2C"/>
    <w:rsid w:val="005D4475"/>
    <w:rsid w:val="005D4503"/>
    <w:rsid w:val="005D4BC0"/>
    <w:rsid w:val="005D4CAF"/>
    <w:rsid w:val="005D4CB6"/>
    <w:rsid w:val="005D4DCD"/>
    <w:rsid w:val="005D518D"/>
    <w:rsid w:val="005D51B8"/>
    <w:rsid w:val="005D5420"/>
    <w:rsid w:val="005D5483"/>
    <w:rsid w:val="005D5A31"/>
    <w:rsid w:val="005D5FAB"/>
    <w:rsid w:val="005D651A"/>
    <w:rsid w:val="005D6B86"/>
    <w:rsid w:val="005D6D6D"/>
    <w:rsid w:val="005D6F4C"/>
    <w:rsid w:val="005D7022"/>
    <w:rsid w:val="005D7199"/>
    <w:rsid w:val="005D78AC"/>
    <w:rsid w:val="005D7BC6"/>
    <w:rsid w:val="005E0C7A"/>
    <w:rsid w:val="005E0D38"/>
    <w:rsid w:val="005E1368"/>
    <w:rsid w:val="005E179E"/>
    <w:rsid w:val="005E17FB"/>
    <w:rsid w:val="005E1C05"/>
    <w:rsid w:val="005E267F"/>
    <w:rsid w:val="005E2FEE"/>
    <w:rsid w:val="005E3572"/>
    <w:rsid w:val="005E35FE"/>
    <w:rsid w:val="005E3C69"/>
    <w:rsid w:val="005E3D31"/>
    <w:rsid w:val="005E4191"/>
    <w:rsid w:val="005E4926"/>
    <w:rsid w:val="005E5067"/>
    <w:rsid w:val="005E5110"/>
    <w:rsid w:val="005E57C6"/>
    <w:rsid w:val="005E5888"/>
    <w:rsid w:val="005E5B00"/>
    <w:rsid w:val="005E5F66"/>
    <w:rsid w:val="005E624D"/>
    <w:rsid w:val="005E688B"/>
    <w:rsid w:val="005E7738"/>
    <w:rsid w:val="005F01A1"/>
    <w:rsid w:val="005F05A2"/>
    <w:rsid w:val="005F0C3F"/>
    <w:rsid w:val="005F0F8B"/>
    <w:rsid w:val="005F1177"/>
    <w:rsid w:val="005F17BA"/>
    <w:rsid w:val="005F189A"/>
    <w:rsid w:val="005F18CD"/>
    <w:rsid w:val="005F1B73"/>
    <w:rsid w:val="005F223F"/>
    <w:rsid w:val="005F23CA"/>
    <w:rsid w:val="005F27B5"/>
    <w:rsid w:val="005F2A56"/>
    <w:rsid w:val="005F2F17"/>
    <w:rsid w:val="005F3448"/>
    <w:rsid w:val="005F4017"/>
    <w:rsid w:val="005F4115"/>
    <w:rsid w:val="005F45F3"/>
    <w:rsid w:val="005F4AF5"/>
    <w:rsid w:val="005F5016"/>
    <w:rsid w:val="005F51B5"/>
    <w:rsid w:val="005F583D"/>
    <w:rsid w:val="005F58A8"/>
    <w:rsid w:val="005F599C"/>
    <w:rsid w:val="005F5B1E"/>
    <w:rsid w:val="005F6163"/>
    <w:rsid w:val="005F6184"/>
    <w:rsid w:val="005F6D27"/>
    <w:rsid w:val="005F6D4E"/>
    <w:rsid w:val="005F6E70"/>
    <w:rsid w:val="005F77E3"/>
    <w:rsid w:val="005F7CFE"/>
    <w:rsid w:val="0060015E"/>
    <w:rsid w:val="00600759"/>
    <w:rsid w:val="00601392"/>
    <w:rsid w:val="00601FF2"/>
    <w:rsid w:val="0060227C"/>
    <w:rsid w:val="006026E3"/>
    <w:rsid w:val="00603146"/>
    <w:rsid w:val="00603520"/>
    <w:rsid w:val="00603A68"/>
    <w:rsid w:val="006046C6"/>
    <w:rsid w:val="00604B81"/>
    <w:rsid w:val="00604D9E"/>
    <w:rsid w:val="00605082"/>
    <w:rsid w:val="006051B3"/>
    <w:rsid w:val="006051FE"/>
    <w:rsid w:val="0060528D"/>
    <w:rsid w:val="00605729"/>
    <w:rsid w:val="0060588A"/>
    <w:rsid w:val="00605A2B"/>
    <w:rsid w:val="00605BB5"/>
    <w:rsid w:val="0060631A"/>
    <w:rsid w:val="00606A91"/>
    <w:rsid w:val="00606D4D"/>
    <w:rsid w:val="00607743"/>
    <w:rsid w:val="0060798B"/>
    <w:rsid w:val="006107E1"/>
    <w:rsid w:val="00610B18"/>
    <w:rsid w:val="00610F8A"/>
    <w:rsid w:val="00611070"/>
    <w:rsid w:val="006112A4"/>
    <w:rsid w:val="0061153F"/>
    <w:rsid w:val="00611DF0"/>
    <w:rsid w:val="0061241B"/>
    <w:rsid w:val="00612684"/>
    <w:rsid w:val="006129CF"/>
    <w:rsid w:val="00614031"/>
    <w:rsid w:val="006147AE"/>
    <w:rsid w:val="006147B5"/>
    <w:rsid w:val="00614A07"/>
    <w:rsid w:val="00614C8B"/>
    <w:rsid w:val="00615531"/>
    <w:rsid w:val="00615644"/>
    <w:rsid w:val="00616448"/>
    <w:rsid w:val="006165C1"/>
    <w:rsid w:val="0061663A"/>
    <w:rsid w:val="00616C42"/>
    <w:rsid w:val="0061781E"/>
    <w:rsid w:val="0062114F"/>
    <w:rsid w:val="006211F6"/>
    <w:rsid w:val="006215B9"/>
    <w:rsid w:val="00621F24"/>
    <w:rsid w:val="0062211A"/>
    <w:rsid w:val="00622121"/>
    <w:rsid w:val="00622366"/>
    <w:rsid w:val="0062272D"/>
    <w:rsid w:val="006228F3"/>
    <w:rsid w:val="00622B4D"/>
    <w:rsid w:val="00622F80"/>
    <w:rsid w:val="0062332C"/>
    <w:rsid w:val="0062339C"/>
    <w:rsid w:val="006233DD"/>
    <w:rsid w:val="006236E6"/>
    <w:rsid w:val="00623F1F"/>
    <w:rsid w:val="0062462F"/>
    <w:rsid w:val="00624759"/>
    <w:rsid w:val="00625166"/>
    <w:rsid w:val="0062545C"/>
    <w:rsid w:val="0062585F"/>
    <w:rsid w:val="00625D40"/>
    <w:rsid w:val="00626036"/>
    <w:rsid w:val="00626435"/>
    <w:rsid w:val="00626577"/>
    <w:rsid w:val="00626647"/>
    <w:rsid w:val="00626C44"/>
    <w:rsid w:val="00626CF3"/>
    <w:rsid w:val="0062783F"/>
    <w:rsid w:val="00627F94"/>
    <w:rsid w:val="0063049F"/>
    <w:rsid w:val="00630B18"/>
    <w:rsid w:val="006312CB"/>
    <w:rsid w:val="0063174E"/>
    <w:rsid w:val="00631C99"/>
    <w:rsid w:val="00631D44"/>
    <w:rsid w:val="00632037"/>
    <w:rsid w:val="00632A52"/>
    <w:rsid w:val="00632C36"/>
    <w:rsid w:val="00632FA0"/>
    <w:rsid w:val="006330AA"/>
    <w:rsid w:val="00633366"/>
    <w:rsid w:val="006333D9"/>
    <w:rsid w:val="00633909"/>
    <w:rsid w:val="00635648"/>
    <w:rsid w:val="006356A6"/>
    <w:rsid w:val="006358B0"/>
    <w:rsid w:val="006359D4"/>
    <w:rsid w:val="00635DF0"/>
    <w:rsid w:val="00636364"/>
    <w:rsid w:val="006365A0"/>
    <w:rsid w:val="00636717"/>
    <w:rsid w:val="00636800"/>
    <w:rsid w:val="006372A4"/>
    <w:rsid w:val="006372EF"/>
    <w:rsid w:val="0063750A"/>
    <w:rsid w:val="006375F6"/>
    <w:rsid w:val="006378F3"/>
    <w:rsid w:val="00637BBD"/>
    <w:rsid w:val="00637F86"/>
    <w:rsid w:val="00640472"/>
    <w:rsid w:val="00640543"/>
    <w:rsid w:val="00641309"/>
    <w:rsid w:val="006415D7"/>
    <w:rsid w:val="0064243D"/>
    <w:rsid w:val="0064250F"/>
    <w:rsid w:val="0064279B"/>
    <w:rsid w:val="00642BA1"/>
    <w:rsid w:val="00642E04"/>
    <w:rsid w:val="00643273"/>
    <w:rsid w:val="00643659"/>
    <w:rsid w:val="00643772"/>
    <w:rsid w:val="00643B69"/>
    <w:rsid w:val="00643D26"/>
    <w:rsid w:val="00644383"/>
    <w:rsid w:val="00644712"/>
    <w:rsid w:val="0064479D"/>
    <w:rsid w:val="006447DB"/>
    <w:rsid w:val="00644A6E"/>
    <w:rsid w:val="00644B4D"/>
    <w:rsid w:val="00644D6A"/>
    <w:rsid w:val="00645152"/>
    <w:rsid w:val="00645498"/>
    <w:rsid w:val="0064567E"/>
    <w:rsid w:val="006457B7"/>
    <w:rsid w:val="00645E1D"/>
    <w:rsid w:val="00646985"/>
    <w:rsid w:val="00646C2D"/>
    <w:rsid w:val="00646CFD"/>
    <w:rsid w:val="00646D16"/>
    <w:rsid w:val="006506BD"/>
    <w:rsid w:val="00650FDD"/>
    <w:rsid w:val="006513E3"/>
    <w:rsid w:val="006514DF"/>
    <w:rsid w:val="006516CB"/>
    <w:rsid w:val="0065173B"/>
    <w:rsid w:val="006519F0"/>
    <w:rsid w:val="00651DDF"/>
    <w:rsid w:val="00651F46"/>
    <w:rsid w:val="00652DF1"/>
    <w:rsid w:val="0065392F"/>
    <w:rsid w:val="006544E6"/>
    <w:rsid w:val="0065470F"/>
    <w:rsid w:val="006549CB"/>
    <w:rsid w:val="00654E40"/>
    <w:rsid w:val="006551BD"/>
    <w:rsid w:val="00655451"/>
    <w:rsid w:val="006555FD"/>
    <w:rsid w:val="0065587F"/>
    <w:rsid w:val="00655D8B"/>
    <w:rsid w:val="00655ED4"/>
    <w:rsid w:val="00655F6F"/>
    <w:rsid w:val="00656147"/>
    <w:rsid w:val="00656344"/>
    <w:rsid w:val="00656649"/>
    <w:rsid w:val="006574F7"/>
    <w:rsid w:val="006576B2"/>
    <w:rsid w:val="00657A43"/>
    <w:rsid w:val="00657F32"/>
    <w:rsid w:val="006605B9"/>
    <w:rsid w:val="00661048"/>
    <w:rsid w:val="00661B89"/>
    <w:rsid w:val="00662291"/>
    <w:rsid w:val="006631F7"/>
    <w:rsid w:val="00663311"/>
    <w:rsid w:val="006638A2"/>
    <w:rsid w:val="00663C78"/>
    <w:rsid w:val="0066406A"/>
    <w:rsid w:val="00664409"/>
    <w:rsid w:val="006646FA"/>
    <w:rsid w:val="0066486C"/>
    <w:rsid w:val="00664D3D"/>
    <w:rsid w:val="00664E2B"/>
    <w:rsid w:val="00665706"/>
    <w:rsid w:val="00666823"/>
    <w:rsid w:val="00666FD5"/>
    <w:rsid w:val="0066730C"/>
    <w:rsid w:val="00667472"/>
    <w:rsid w:val="00667AF5"/>
    <w:rsid w:val="00670451"/>
    <w:rsid w:val="006706E7"/>
    <w:rsid w:val="00670C4F"/>
    <w:rsid w:val="00670E0C"/>
    <w:rsid w:val="006711E8"/>
    <w:rsid w:val="006718AC"/>
    <w:rsid w:val="00671A5A"/>
    <w:rsid w:val="00672A92"/>
    <w:rsid w:val="00672AB3"/>
    <w:rsid w:val="00672EFF"/>
    <w:rsid w:val="00673074"/>
    <w:rsid w:val="006737D5"/>
    <w:rsid w:val="006738B6"/>
    <w:rsid w:val="00673AB0"/>
    <w:rsid w:val="00673E2D"/>
    <w:rsid w:val="00674E40"/>
    <w:rsid w:val="006754DE"/>
    <w:rsid w:val="006759EA"/>
    <w:rsid w:val="00676FFD"/>
    <w:rsid w:val="00677833"/>
    <w:rsid w:val="00677AA1"/>
    <w:rsid w:val="00677F19"/>
    <w:rsid w:val="006807DD"/>
    <w:rsid w:val="00680CBF"/>
    <w:rsid w:val="0068163E"/>
    <w:rsid w:val="00682106"/>
    <w:rsid w:val="006822AA"/>
    <w:rsid w:val="00682484"/>
    <w:rsid w:val="00682A45"/>
    <w:rsid w:val="00682B03"/>
    <w:rsid w:val="00682DAD"/>
    <w:rsid w:val="00683207"/>
    <w:rsid w:val="006833B5"/>
    <w:rsid w:val="00683603"/>
    <w:rsid w:val="006837B4"/>
    <w:rsid w:val="006837D7"/>
    <w:rsid w:val="00683B88"/>
    <w:rsid w:val="00683E20"/>
    <w:rsid w:val="00684020"/>
    <w:rsid w:val="006847FF"/>
    <w:rsid w:val="006850E4"/>
    <w:rsid w:val="0068546D"/>
    <w:rsid w:val="006855A0"/>
    <w:rsid w:val="006855AC"/>
    <w:rsid w:val="0068570F"/>
    <w:rsid w:val="00685AB8"/>
    <w:rsid w:val="00685AC5"/>
    <w:rsid w:val="00686DAC"/>
    <w:rsid w:val="00686FD4"/>
    <w:rsid w:val="00690013"/>
    <w:rsid w:val="00690634"/>
    <w:rsid w:val="00690BE7"/>
    <w:rsid w:val="00690C0D"/>
    <w:rsid w:val="00690EAE"/>
    <w:rsid w:val="00690F05"/>
    <w:rsid w:val="00690F9C"/>
    <w:rsid w:val="00691E1A"/>
    <w:rsid w:val="00691E64"/>
    <w:rsid w:val="00692323"/>
    <w:rsid w:val="006927D0"/>
    <w:rsid w:val="006931DA"/>
    <w:rsid w:val="0069331A"/>
    <w:rsid w:val="00693589"/>
    <w:rsid w:val="00693595"/>
    <w:rsid w:val="00693A2B"/>
    <w:rsid w:val="00693CDF"/>
    <w:rsid w:val="0069449B"/>
    <w:rsid w:val="00694693"/>
    <w:rsid w:val="00694B46"/>
    <w:rsid w:val="00694C3A"/>
    <w:rsid w:val="00694F42"/>
    <w:rsid w:val="006952BE"/>
    <w:rsid w:val="006953A9"/>
    <w:rsid w:val="0069553F"/>
    <w:rsid w:val="00695A80"/>
    <w:rsid w:val="00695CBE"/>
    <w:rsid w:val="006962F8"/>
    <w:rsid w:val="0069645B"/>
    <w:rsid w:val="00696464"/>
    <w:rsid w:val="006965FE"/>
    <w:rsid w:val="00696E19"/>
    <w:rsid w:val="00697173"/>
    <w:rsid w:val="00697962"/>
    <w:rsid w:val="00697D7A"/>
    <w:rsid w:val="00697E74"/>
    <w:rsid w:val="006A01A5"/>
    <w:rsid w:val="006A03AE"/>
    <w:rsid w:val="006A0624"/>
    <w:rsid w:val="006A0AF3"/>
    <w:rsid w:val="006A190F"/>
    <w:rsid w:val="006A20D3"/>
    <w:rsid w:val="006A244F"/>
    <w:rsid w:val="006A2718"/>
    <w:rsid w:val="006A2E1F"/>
    <w:rsid w:val="006A3289"/>
    <w:rsid w:val="006A32E7"/>
    <w:rsid w:val="006A339D"/>
    <w:rsid w:val="006A39CF"/>
    <w:rsid w:val="006A3A36"/>
    <w:rsid w:val="006A3AC1"/>
    <w:rsid w:val="006A3AEE"/>
    <w:rsid w:val="006A4036"/>
    <w:rsid w:val="006A410E"/>
    <w:rsid w:val="006A4BAD"/>
    <w:rsid w:val="006A51D8"/>
    <w:rsid w:val="006A52A9"/>
    <w:rsid w:val="006A58E3"/>
    <w:rsid w:val="006A6039"/>
    <w:rsid w:val="006A655B"/>
    <w:rsid w:val="006A69A1"/>
    <w:rsid w:val="006A6BE8"/>
    <w:rsid w:val="006A7120"/>
    <w:rsid w:val="006A7879"/>
    <w:rsid w:val="006A7DB9"/>
    <w:rsid w:val="006B066A"/>
    <w:rsid w:val="006B176C"/>
    <w:rsid w:val="006B2004"/>
    <w:rsid w:val="006B253D"/>
    <w:rsid w:val="006B257E"/>
    <w:rsid w:val="006B321C"/>
    <w:rsid w:val="006B3637"/>
    <w:rsid w:val="006B3A0A"/>
    <w:rsid w:val="006B3C02"/>
    <w:rsid w:val="006B3C59"/>
    <w:rsid w:val="006B4679"/>
    <w:rsid w:val="006B4723"/>
    <w:rsid w:val="006B494B"/>
    <w:rsid w:val="006B4E32"/>
    <w:rsid w:val="006B5021"/>
    <w:rsid w:val="006B5063"/>
    <w:rsid w:val="006B5210"/>
    <w:rsid w:val="006B5466"/>
    <w:rsid w:val="006B582D"/>
    <w:rsid w:val="006B5E07"/>
    <w:rsid w:val="006B62D4"/>
    <w:rsid w:val="006B656E"/>
    <w:rsid w:val="006B6E96"/>
    <w:rsid w:val="006B73C3"/>
    <w:rsid w:val="006B781F"/>
    <w:rsid w:val="006B7A06"/>
    <w:rsid w:val="006C0A24"/>
    <w:rsid w:val="006C0D8A"/>
    <w:rsid w:val="006C1574"/>
    <w:rsid w:val="006C1758"/>
    <w:rsid w:val="006C19FD"/>
    <w:rsid w:val="006C1DC0"/>
    <w:rsid w:val="006C20A9"/>
    <w:rsid w:val="006C26E0"/>
    <w:rsid w:val="006C273E"/>
    <w:rsid w:val="006C2ED6"/>
    <w:rsid w:val="006C3204"/>
    <w:rsid w:val="006C5001"/>
    <w:rsid w:val="006C514C"/>
    <w:rsid w:val="006C5392"/>
    <w:rsid w:val="006C58EB"/>
    <w:rsid w:val="006C59EB"/>
    <w:rsid w:val="006C60C7"/>
    <w:rsid w:val="006C6337"/>
    <w:rsid w:val="006C6354"/>
    <w:rsid w:val="006C67D6"/>
    <w:rsid w:val="006C727C"/>
    <w:rsid w:val="006C7BE1"/>
    <w:rsid w:val="006D0222"/>
    <w:rsid w:val="006D07BB"/>
    <w:rsid w:val="006D0905"/>
    <w:rsid w:val="006D0AE5"/>
    <w:rsid w:val="006D0EEC"/>
    <w:rsid w:val="006D0F96"/>
    <w:rsid w:val="006D14A4"/>
    <w:rsid w:val="006D185B"/>
    <w:rsid w:val="006D1A5B"/>
    <w:rsid w:val="006D1C68"/>
    <w:rsid w:val="006D1CE5"/>
    <w:rsid w:val="006D211F"/>
    <w:rsid w:val="006D21F9"/>
    <w:rsid w:val="006D249D"/>
    <w:rsid w:val="006D25CB"/>
    <w:rsid w:val="006D2753"/>
    <w:rsid w:val="006D28CC"/>
    <w:rsid w:val="006D28DD"/>
    <w:rsid w:val="006D2911"/>
    <w:rsid w:val="006D2BCC"/>
    <w:rsid w:val="006D2F02"/>
    <w:rsid w:val="006D334C"/>
    <w:rsid w:val="006D483F"/>
    <w:rsid w:val="006D48BE"/>
    <w:rsid w:val="006D4A00"/>
    <w:rsid w:val="006D50D5"/>
    <w:rsid w:val="006D5498"/>
    <w:rsid w:val="006D57D1"/>
    <w:rsid w:val="006D5BC4"/>
    <w:rsid w:val="006D666A"/>
    <w:rsid w:val="006D71D0"/>
    <w:rsid w:val="006D74C9"/>
    <w:rsid w:val="006D7761"/>
    <w:rsid w:val="006D7C7E"/>
    <w:rsid w:val="006E02A8"/>
    <w:rsid w:val="006E14B5"/>
    <w:rsid w:val="006E1794"/>
    <w:rsid w:val="006E1BE8"/>
    <w:rsid w:val="006E1F73"/>
    <w:rsid w:val="006E259D"/>
    <w:rsid w:val="006E2A90"/>
    <w:rsid w:val="006E2F2A"/>
    <w:rsid w:val="006E3518"/>
    <w:rsid w:val="006E362B"/>
    <w:rsid w:val="006E364D"/>
    <w:rsid w:val="006E3CC3"/>
    <w:rsid w:val="006E427C"/>
    <w:rsid w:val="006E45B2"/>
    <w:rsid w:val="006E49AF"/>
    <w:rsid w:val="006E575C"/>
    <w:rsid w:val="006E5988"/>
    <w:rsid w:val="006E5A99"/>
    <w:rsid w:val="006E720D"/>
    <w:rsid w:val="006E7582"/>
    <w:rsid w:val="006E7F88"/>
    <w:rsid w:val="006F07A7"/>
    <w:rsid w:val="006F07B1"/>
    <w:rsid w:val="006F0927"/>
    <w:rsid w:val="006F0AA7"/>
    <w:rsid w:val="006F15C3"/>
    <w:rsid w:val="006F2208"/>
    <w:rsid w:val="006F222C"/>
    <w:rsid w:val="006F2692"/>
    <w:rsid w:val="006F2A85"/>
    <w:rsid w:val="006F2D90"/>
    <w:rsid w:val="006F3BC2"/>
    <w:rsid w:val="006F3D57"/>
    <w:rsid w:val="006F3D77"/>
    <w:rsid w:val="006F4BA9"/>
    <w:rsid w:val="006F5714"/>
    <w:rsid w:val="006F5831"/>
    <w:rsid w:val="006F5B2D"/>
    <w:rsid w:val="006F5E87"/>
    <w:rsid w:val="006F63B1"/>
    <w:rsid w:val="006F6796"/>
    <w:rsid w:val="006F6CAD"/>
    <w:rsid w:val="006F72C7"/>
    <w:rsid w:val="006F7B91"/>
    <w:rsid w:val="006F7BC9"/>
    <w:rsid w:val="00700CE9"/>
    <w:rsid w:val="00701075"/>
    <w:rsid w:val="007017CE"/>
    <w:rsid w:val="00701A67"/>
    <w:rsid w:val="00701B95"/>
    <w:rsid w:val="00701CBF"/>
    <w:rsid w:val="00701F28"/>
    <w:rsid w:val="00702054"/>
    <w:rsid w:val="007022BF"/>
    <w:rsid w:val="007022F0"/>
    <w:rsid w:val="00702973"/>
    <w:rsid w:val="007029EE"/>
    <w:rsid w:val="00702C81"/>
    <w:rsid w:val="00702D95"/>
    <w:rsid w:val="007031E0"/>
    <w:rsid w:val="007031FC"/>
    <w:rsid w:val="007032A0"/>
    <w:rsid w:val="007033E7"/>
    <w:rsid w:val="007035A1"/>
    <w:rsid w:val="007035A7"/>
    <w:rsid w:val="007035D3"/>
    <w:rsid w:val="007035F1"/>
    <w:rsid w:val="00703785"/>
    <w:rsid w:val="00703A6D"/>
    <w:rsid w:val="00704231"/>
    <w:rsid w:val="0070535F"/>
    <w:rsid w:val="00705645"/>
    <w:rsid w:val="00705769"/>
    <w:rsid w:val="00705E94"/>
    <w:rsid w:val="00705F45"/>
    <w:rsid w:val="00706300"/>
    <w:rsid w:val="0070679B"/>
    <w:rsid w:val="00706896"/>
    <w:rsid w:val="00706DC2"/>
    <w:rsid w:val="0070768A"/>
    <w:rsid w:val="00707E40"/>
    <w:rsid w:val="00710111"/>
    <w:rsid w:val="00710EF6"/>
    <w:rsid w:val="007113B6"/>
    <w:rsid w:val="0071154B"/>
    <w:rsid w:val="00711696"/>
    <w:rsid w:val="00711BCD"/>
    <w:rsid w:val="00711E8D"/>
    <w:rsid w:val="007124DD"/>
    <w:rsid w:val="00712BDE"/>
    <w:rsid w:val="0071340C"/>
    <w:rsid w:val="007135BB"/>
    <w:rsid w:val="0071383F"/>
    <w:rsid w:val="00713B6E"/>
    <w:rsid w:val="0071407F"/>
    <w:rsid w:val="0071440A"/>
    <w:rsid w:val="00714557"/>
    <w:rsid w:val="00714768"/>
    <w:rsid w:val="00715DBC"/>
    <w:rsid w:val="0071733D"/>
    <w:rsid w:val="00717CE0"/>
    <w:rsid w:val="00717E12"/>
    <w:rsid w:val="0072000D"/>
    <w:rsid w:val="0072058B"/>
    <w:rsid w:val="00720D1D"/>
    <w:rsid w:val="007211A1"/>
    <w:rsid w:val="007218A5"/>
    <w:rsid w:val="007219F5"/>
    <w:rsid w:val="007222B6"/>
    <w:rsid w:val="00722BBC"/>
    <w:rsid w:val="00723026"/>
    <w:rsid w:val="0072364F"/>
    <w:rsid w:val="00724E56"/>
    <w:rsid w:val="0072525B"/>
    <w:rsid w:val="00725974"/>
    <w:rsid w:val="00725FCB"/>
    <w:rsid w:val="00726BAE"/>
    <w:rsid w:val="00727685"/>
    <w:rsid w:val="0073038E"/>
    <w:rsid w:val="00730833"/>
    <w:rsid w:val="00730B69"/>
    <w:rsid w:val="00730FB9"/>
    <w:rsid w:val="0073150F"/>
    <w:rsid w:val="00731CB8"/>
    <w:rsid w:val="007320BE"/>
    <w:rsid w:val="0073256F"/>
    <w:rsid w:val="00732EF7"/>
    <w:rsid w:val="007330AC"/>
    <w:rsid w:val="0073322A"/>
    <w:rsid w:val="007338A7"/>
    <w:rsid w:val="00733B12"/>
    <w:rsid w:val="00734183"/>
    <w:rsid w:val="0073427B"/>
    <w:rsid w:val="0073453C"/>
    <w:rsid w:val="0073475A"/>
    <w:rsid w:val="00734C71"/>
    <w:rsid w:val="007352BD"/>
    <w:rsid w:val="0073596A"/>
    <w:rsid w:val="0073596B"/>
    <w:rsid w:val="00735C0E"/>
    <w:rsid w:val="00735CBB"/>
    <w:rsid w:val="00736632"/>
    <w:rsid w:val="00736A7A"/>
    <w:rsid w:val="00737231"/>
    <w:rsid w:val="0073756D"/>
    <w:rsid w:val="007375A7"/>
    <w:rsid w:val="00737A44"/>
    <w:rsid w:val="00737AB5"/>
    <w:rsid w:val="00740108"/>
    <w:rsid w:val="00740151"/>
    <w:rsid w:val="007407C6"/>
    <w:rsid w:val="00740F48"/>
    <w:rsid w:val="0074139D"/>
    <w:rsid w:val="00741C5C"/>
    <w:rsid w:val="00741CC6"/>
    <w:rsid w:val="00741E60"/>
    <w:rsid w:val="00741F41"/>
    <w:rsid w:val="00742303"/>
    <w:rsid w:val="00742A4B"/>
    <w:rsid w:val="00742E08"/>
    <w:rsid w:val="00742F18"/>
    <w:rsid w:val="00742FFD"/>
    <w:rsid w:val="00743595"/>
    <w:rsid w:val="00743D3C"/>
    <w:rsid w:val="007442CB"/>
    <w:rsid w:val="007445E7"/>
    <w:rsid w:val="007446D0"/>
    <w:rsid w:val="007452FE"/>
    <w:rsid w:val="00745406"/>
    <w:rsid w:val="00745FC2"/>
    <w:rsid w:val="0074626B"/>
    <w:rsid w:val="007462BC"/>
    <w:rsid w:val="007465EA"/>
    <w:rsid w:val="007466CA"/>
    <w:rsid w:val="00746A19"/>
    <w:rsid w:val="00746CD0"/>
    <w:rsid w:val="00750FB0"/>
    <w:rsid w:val="00750FF8"/>
    <w:rsid w:val="007516C1"/>
    <w:rsid w:val="00751DC3"/>
    <w:rsid w:val="007527D2"/>
    <w:rsid w:val="00752AE5"/>
    <w:rsid w:val="00752B59"/>
    <w:rsid w:val="00752D13"/>
    <w:rsid w:val="00752E1D"/>
    <w:rsid w:val="007530A4"/>
    <w:rsid w:val="0075322E"/>
    <w:rsid w:val="00753414"/>
    <w:rsid w:val="00753505"/>
    <w:rsid w:val="00753ABE"/>
    <w:rsid w:val="00754330"/>
    <w:rsid w:val="00754454"/>
    <w:rsid w:val="00754BAD"/>
    <w:rsid w:val="00754C1C"/>
    <w:rsid w:val="0075583E"/>
    <w:rsid w:val="00755AAC"/>
    <w:rsid w:val="00755C16"/>
    <w:rsid w:val="0075635B"/>
    <w:rsid w:val="0075692C"/>
    <w:rsid w:val="00756BDB"/>
    <w:rsid w:val="00756C4B"/>
    <w:rsid w:val="00756C4C"/>
    <w:rsid w:val="007571C3"/>
    <w:rsid w:val="007571E0"/>
    <w:rsid w:val="00757719"/>
    <w:rsid w:val="007605DD"/>
    <w:rsid w:val="00760AA2"/>
    <w:rsid w:val="00760B6A"/>
    <w:rsid w:val="00760C06"/>
    <w:rsid w:val="00760F07"/>
    <w:rsid w:val="00761DCE"/>
    <w:rsid w:val="00762059"/>
    <w:rsid w:val="007621C3"/>
    <w:rsid w:val="007622CA"/>
    <w:rsid w:val="007624ED"/>
    <w:rsid w:val="00762A4B"/>
    <w:rsid w:val="00762C44"/>
    <w:rsid w:val="0076307B"/>
    <w:rsid w:val="0076333C"/>
    <w:rsid w:val="00763354"/>
    <w:rsid w:val="007634DF"/>
    <w:rsid w:val="0076367D"/>
    <w:rsid w:val="00763EDE"/>
    <w:rsid w:val="00764017"/>
    <w:rsid w:val="007641F0"/>
    <w:rsid w:val="00764BF1"/>
    <w:rsid w:val="00764CDD"/>
    <w:rsid w:val="007654E0"/>
    <w:rsid w:val="00765535"/>
    <w:rsid w:val="007657B4"/>
    <w:rsid w:val="007662AD"/>
    <w:rsid w:val="0076672A"/>
    <w:rsid w:val="00766EFD"/>
    <w:rsid w:val="007670F9"/>
    <w:rsid w:val="007671A3"/>
    <w:rsid w:val="0076795E"/>
    <w:rsid w:val="00767C68"/>
    <w:rsid w:val="00767DBC"/>
    <w:rsid w:val="00770499"/>
    <w:rsid w:val="007706C1"/>
    <w:rsid w:val="007709C4"/>
    <w:rsid w:val="00770F2C"/>
    <w:rsid w:val="007715B8"/>
    <w:rsid w:val="00771AC2"/>
    <w:rsid w:val="00772133"/>
    <w:rsid w:val="0077217A"/>
    <w:rsid w:val="00772F9D"/>
    <w:rsid w:val="00773447"/>
    <w:rsid w:val="00773B1C"/>
    <w:rsid w:val="00773CE4"/>
    <w:rsid w:val="00773FEF"/>
    <w:rsid w:val="007748D9"/>
    <w:rsid w:val="00774D5A"/>
    <w:rsid w:val="0077513B"/>
    <w:rsid w:val="00775A7F"/>
    <w:rsid w:val="00775FA4"/>
    <w:rsid w:val="00776051"/>
    <w:rsid w:val="0077636D"/>
    <w:rsid w:val="007766B5"/>
    <w:rsid w:val="0077681D"/>
    <w:rsid w:val="00776B16"/>
    <w:rsid w:val="00776FB7"/>
    <w:rsid w:val="00777187"/>
    <w:rsid w:val="00777275"/>
    <w:rsid w:val="00777508"/>
    <w:rsid w:val="007779CF"/>
    <w:rsid w:val="00777D92"/>
    <w:rsid w:val="00777E94"/>
    <w:rsid w:val="0078026A"/>
    <w:rsid w:val="00780C8F"/>
    <w:rsid w:val="007810D4"/>
    <w:rsid w:val="0078115C"/>
    <w:rsid w:val="0078173E"/>
    <w:rsid w:val="00781A10"/>
    <w:rsid w:val="00781D11"/>
    <w:rsid w:val="007820AA"/>
    <w:rsid w:val="0078276F"/>
    <w:rsid w:val="00782D41"/>
    <w:rsid w:val="00782DAE"/>
    <w:rsid w:val="00783149"/>
    <w:rsid w:val="0078378C"/>
    <w:rsid w:val="00783988"/>
    <w:rsid w:val="00783E43"/>
    <w:rsid w:val="00784063"/>
    <w:rsid w:val="007840C9"/>
    <w:rsid w:val="007842CB"/>
    <w:rsid w:val="007844B7"/>
    <w:rsid w:val="00784C07"/>
    <w:rsid w:val="0078518A"/>
    <w:rsid w:val="00785D86"/>
    <w:rsid w:val="00785E01"/>
    <w:rsid w:val="00786394"/>
    <w:rsid w:val="007866F5"/>
    <w:rsid w:val="0078686A"/>
    <w:rsid w:val="00786C09"/>
    <w:rsid w:val="00787269"/>
    <w:rsid w:val="007873FD"/>
    <w:rsid w:val="00787672"/>
    <w:rsid w:val="00787E1F"/>
    <w:rsid w:val="00790160"/>
    <w:rsid w:val="007909E0"/>
    <w:rsid w:val="00790B7B"/>
    <w:rsid w:val="00790C27"/>
    <w:rsid w:val="00790CC0"/>
    <w:rsid w:val="00790FC6"/>
    <w:rsid w:val="00790FE7"/>
    <w:rsid w:val="007911EF"/>
    <w:rsid w:val="00791833"/>
    <w:rsid w:val="007919BB"/>
    <w:rsid w:val="007919EB"/>
    <w:rsid w:val="00791D7C"/>
    <w:rsid w:val="00791EAD"/>
    <w:rsid w:val="007920F9"/>
    <w:rsid w:val="00792907"/>
    <w:rsid w:val="00792931"/>
    <w:rsid w:val="00792C5B"/>
    <w:rsid w:val="00793C76"/>
    <w:rsid w:val="00794360"/>
    <w:rsid w:val="0079446A"/>
    <w:rsid w:val="00794730"/>
    <w:rsid w:val="0079489E"/>
    <w:rsid w:val="00794AAD"/>
    <w:rsid w:val="00794ED8"/>
    <w:rsid w:val="0079528E"/>
    <w:rsid w:val="00795A30"/>
    <w:rsid w:val="00795D5C"/>
    <w:rsid w:val="007964D7"/>
    <w:rsid w:val="00796B7B"/>
    <w:rsid w:val="00796B9F"/>
    <w:rsid w:val="00796FF9"/>
    <w:rsid w:val="0079728B"/>
    <w:rsid w:val="00797577"/>
    <w:rsid w:val="00797C37"/>
    <w:rsid w:val="007A05B0"/>
    <w:rsid w:val="007A19C6"/>
    <w:rsid w:val="007A19FF"/>
    <w:rsid w:val="007A1C6B"/>
    <w:rsid w:val="007A23C6"/>
    <w:rsid w:val="007A26C1"/>
    <w:rsid w:val="007A3164"/>
    <w:rsid w:val="007A3C86"/>
    <w:rsid w:val="007A40C7"/>
    <w:rsid w:val="007A45D9"/>
    <w:rsid w:val="007A482E"/>
    <w:rsid w:val="007A4A95"/>
    <w:rsid w:val="007A4AF6"/>
    <w:rsid w:val="007A53A8"/>
    <w:rsid w:val="007A671B"/>
    <w:rsid w:val="007A6B69"/>
    <w:rsid w:val="007A6C19"/>
    <w:rsid w:val="007A6CF7"/>
    <w:rsid w:val="007A772E"/>
    <w:rsid w:val="007B0080"/>
    <w:rsid w:val="007B00D8"/>
    <w:rsid w:val="007B01CA"/>
    <w:rsid w:val="007B040B"/>
    <w:rsid w:val="007B1261"/>
    <w:rsid w:val="007B12E2"/>
    <w:rsid w:val="007B1598"/>
    <w:rsid w:val="007B18A3"/>
    <w:rsid w:val="007B1B72"/>
    <w:rsid w:val="007B24D8"/>
    <w:rsid w:val="007B265B"/>
    <w:rsid w:val="007B278B"/>
    <w:rsid w:val="007B2AF5"/>
    <w:rsid w:val="007B307B"/>
    <w:rsid w:val="007B3192"/>
    <w:rsid w:val="007B4240"/>
    <w:rsid w:val="007B4309"/>
    <w:rsid w:val="007B430D"/>
    <w:rsid w:val="007B44E0"/>
    <w:rsid w:val="007B4645"/>
    <w:rsid w:val="007B46DE"/>
    <w:rsid w:val="007B480E"/>
    <w:rsid w:val="007B4AD4"/>
    <w:rsid w:val="007B4C31"/>
    <w:rsid w:val="007B4DF6"/>
    <w:rsid w:val="007B516D"/>
    <w:rsid w:val="007B6276"/>
    <w:rsid w:val="007B67B6"/>
    <w:rsid w:val="007B681E"/>
    <w:rsid w:val="007B71CA"/>
    <w:rsid w:val="007B7297"/>
    <w:rsid w:val="007B735A"/>
    <w:rsid w:val="007B745E"/>
    <w:rsid w:val="007B76E0"/>
    <w:rsid w:val="007B799C"/>
    <w:rsid w:val="007B7D34"/>
    <w:rsid w:val="007C01DF"/>
    <w:rsid w:val="007C041A"/>
    <w:rsid w:val="007C05DD"/>
    <w:rsid w:val="007C0632"/>
    <w:rsid w:val="007C0CFF"/>
    <w:rsid w:val="007C0DAE"/>
    <w:rsid w:val="007C14C2"/>
    <w:rsid w:val="007C1D65"/>
    <w:rsid w:val="007C1FAA"/>
    <w:rsid w:val="007C23EF"/>
    <w:rsid w:val="007C2950"/>
    <w:rsid w:val="007C2A04"/>
    <w:rsid w:val="007C30F3"/>
    <w:rsid w:val="007C3735"/>
    <w:rsid w:val="007C3CD9"/>
    <w:rsid w:val="007C3CDC"/>
    <w:rsid w:val="007C3DDC"/>
    <w:rsid w:val="007C4CD7"/>
    <w:rsid w:val="007C5794"/>
    <w:rsid w:val="007C57FB"/>
    <w:rsid w:val="007C589B"/>
    <w:rsid w:val="007C5ACE"/>
    <w:rsid w:val="007C5D19"/>
    <w:rsid w:val="007C5EE6"/>
    <w:rsid w:val="007C5F4C"/>
    <w:rsid w:val="007C61B1"/>
    <w:rsid w:val="007C687D"/>
    <w:rsid w:val="007C7D9B"/>
    <w:rsid w:val="007D008D"/>
    <w:rsid w:val="007D09EF"/>
    <w:rsid w:val="007D0A33"/>
    <w:rsid w:val="007D0B4C"/>
    <w:rsid w:val="007D0C3B"/>
    <w:rsid w:val="007D0E11"/>
    <w:rsid w:val="007D10B7"/>
    <w:rsid w:val="007D23B9"/>
    <w:rsid w:val="007D2B88"/>
    <w:rsid w:val="007D3F8A"/>
    <w:rsid w:val="007D44DF"/>
    <w:rsid w:val="007D4585"/>
    <w:rsid w:val="007D4897"/>
    <w:rsid w:val="007D48DC"/>
    <w:rsid w:val="007D4A16"/>
    <w:rsid w:val="007D4A31"/>
    <w:rsid w:val="007D5CFE"/>
    <w:rsid w:val="007D5F21"/>
    <w:rsid w:val="007D65A1"/>
    <w:rsid w:val="007D67A4"/>
    <w:rsid w:val="007D6E17"/>
    <w:rsid w:val="007D6F8D"/>
    <w:rsid w:val="007D77EE"/>
    <w:rsid w:val="007D79D5"/>
    <w:rsid w:val="007E00D5"/>
    <w:rsid w:val="007E05D4"/>
    <w:rsid w:val="007E1112"/>
    <w:rsid w:val="007E1291"/>
    <w:rsid w:val="007E178E"/>
    <w:rsid w:val="007E1AB1"/>
    <w:rsid w:val="007E2597"/>
    <w:rsid w:val="007E3606"/>
    <w:rsid w:val="007E38A3"/>
    <w:rsid w:val="007E39BC"/>
    <w:rsid w:val="007E3EB8"/>
    <w:rsid w:val="007E4091"/>
    <w:rsid w:val="007E441D"/>
    <w:rsid w:val="007E46BE"/>
    <w:rsid w:val="007E48D1"/>
    <w:rsid w:val="007E4970"/>
    <w:rsid w:val="007E4B6A"/>
    <w:rsid w:val="007E4E6C"/>
    <w:rsid w:val="007E5045"/>
    <w:rsid w:val="007E5ACA"/>
    <w:rsid w:val="007E631D"/>
    <w:rsid w:val="007E637D"/>
    <w:rsid w:val="007E63BC"/>
    <w:rsid w:val="007E6533"/>
    <w:rsid w:val="007E6B74"/>
    <w:rsid w:val="007E6E74"/>
    <w:rsid w:val="007E6F5E"/>
    <w:rsid w:val="007E7104"/>
    <w:rsid w:val="007E7A63"/>
    <w:rsid w:val="007F0472"/>
    <w:rsid w:val="007F0BC1"/>
    <w:rsid w:val="007F0D14"/>
    <w:rsid w:val="007F0D2C"/>
    <w:rsid w:val="007F0D67"/>
    <w:rsid w:val="007F141E"/>
    <w:rsid w:val="007F21CB"/>
    <w:rsid w:val="007F27F3"/>
    <w:rsid w:val="007F3034"/>
    <w:rsid w:val="007F44BB"/>
    <w:rsid w:val="007F485B"/>
    <w:rsid w:val="007F4B27"/>
    <w:rsid w:val="007F4BD1"/>
    <w:rsid w:val="007F4DF7"/>
    <w:rsid w:val="007F5001"/>
    <w:rsid w:val="007F555C"/>
    <w:rsid w:val="007F5EF8"/>
    <w:rsid w:val="007F6605"/>
    <w:rsid w:val="007F66F4"/>
    <w:rsid w:val="007F673C"/>
    <w:rsid w:val="007F68E0"/>
    <w:rsid w:val="007F6C1A"/>
    <w:rsid w:val="007F6D7F"/>
    <w:rsid w:val="007F7222"/>
    <w:rsid w:val="007F72FF"/>
    <w:rsid w:val="007F7F69"/>
    <w:rsid w:val="00800882"/>
    <w:rsid w:val="00800BE2"/>
    <w:rsid w:val="00800C1C"/>
    <w:rsid w:val="00801116"/>
    <w:rsid w:val="00801711"/>
    <w:rsid w:val="008019D1"/>
    <w:rsid w:val="00801B39"/>
    <w:rsid w:val="00801C1C"/>
    <w:rsid w:val="00801CF6"/>
    <w:rsid w:val="0080234F"/>
    <w:rsid w:val="00802535"/>
    <w:rsid w:val="00802D2F"/>
    <w:rsid w:val="00803480"/>
    <w:rsid w:val="0080384A"/>
    <w:rsid w:val="00803E5C"/>
    <w:rsid w:val="00803FCB"/>
    <w:rsid w:val="008041B4"/>
    <w:rsid w:val="00804992"/>
    <w:rsid w:val="00804EB4"/>
    <w:rsid w:val="00805095"/>
    <w:rsid w:val="008054BA"/>
    <w:rsid w:val="00805A26"/>
    <w:rsid w:val="00805AC0"/>
    <w:rsid w:val="00806964"/>
    <w:rsid w:val="00806B6D"/>
    <w:rsid w:val="0080759A"/>
    <w:rsid w:val="008075F1"/>
    <w:rsid w:val="00807D9C"/>
    <w:rsid w:val="00807E0D"/>
    <w:rsid w:val="00810318"/>
    <w:rsid w:val="00810873"/>
    <w:rsid w:val="008109E2"/>
    <w:rsid w:val="00810AC7"/>
    <w:rsid w:val="00810E8B"/>
    <w:rsid w:val="008114B9"/>
    <w:rsid w:val="00811785"/>
    <w:rsid w:val="00811D2B"/>
    <w:rsid w:val="0081224C"/>
    <w:rsid w:val="00812A06"/>
    <w:rsid w:val="00812E3E"/>
    <w:rsid w:val="0081313B"/>
    <w:rsid w:val="008132C0"/>
    <w:rsid w:val="0081372C"/>
    <w:rsid w:val="008138B4"/>
    <w:rsid w:val="0081408B"/>
    <w:rsid w:val="00814117"/>
    <w:rsid w:val="0081424D"/>
    <w:rsid w:val="00814419"/>
    <w:rsid w:val="008146A9"/>
    <w:rsid w:val="0081476D"/>
    <w:rsid w:val="008152B5"/>
    <w:rsid w:val="008156CD"/>
    <w:rsid w:val="008157DD"/>
    <w:rsid w:val="00815E74"/>
    <w:rsid w:val="008161DA"/>
    <w:rsid w:val="008164CE"/>
    <w:rsid w:val="00816902"/>
    <w:rsid w:val="00816AB1"/>
    <w:rsid w:val="00817100"/>
    <w:rsid w:val="0082010B"/>
    <w:rsid w:val="00820528"/>
    <w:rsid w:val="00820578"/>
    <w:rsid w:val="00820661"/>
    <w:rsid w:val="0082068A"/>
    <w:rsid w:val="00820B4F"/>
    <w:rsid w:val="00821205"/>
    <w:rsid w:val="00821305"/>
    <w:rsid w:val="00821788"/>
    <w:rsid w:val="0082196A"/>
    <w:rsid w:val="00821AE5"/>
    <w:rsid w:val="00821D85"/>
    <w:rsid w:val="00822D5C"/>
    <w:rsid w:val="00822E70"/>
    <w:rsid w:val="00823219"/>
    <w:rsid w:val="00823312"/>
    <w:rsid w:val="008237A0"/>
    <w:rsid w:val="00823E44"/>
    <w:rsid w:val="00823EB3"/>
    <w:rsid w:val="008240BA"/>
    <w:rsid w:val="008241B1"/>
    <w:rsid w:val="00824736"/>
    <w:rsid w:val="0082487E"/>
    <w:rsid w:val="00824BD6"/>
    <w:rsid w:val="00824F0F"/>
    <w:rsid w:val="0082565C"/>
    <w:rsid w:val="00825844"/>
    <w:rsid w:val="00825A62"/>
    <w:rsid w:val="00825C70"/>
    <w:rsid w:val="00825E01"/>
    <w:rsid w:val="00826559"/>
    <w:rsid w:val="008266FE"/>
    <w:rsid w:val="0082732C"/>
    <w:rsid w:val="008277C5"/>
    <w:rsid w:val="00827AFB"/>
    <w:rsid w:val="00827DFD"/>
    <w:rsid w:val="00827EAB"/>
    <w:rsid w:val="00827EF4"/>
    <w:rsid w:val="008310E4"/>
    <w:rsid w:val="00831B0B"/>
    <w:rsid w:val="00831CB3"/>
    <w:rsid w:val="00831D9C"/>
    <w:rsid w:val="00831FA1"/>
    <w:rsid w:val="00832C5A"/>
    <w:rsid w:val="00832D78"/>
    <w:rsid w:val="00833084"/>
    <w:rsid w:val="008336D7"/>
    <w:rsid w:val="00833F0A"/>
    <w:rsid w:val="00834262"/>
    <w:rsid w:val="008343CC"/>
    <w:rsid w:val="0083468F"/>
    <w:rsid w:val="00834A74"/>
    <w:rsid w:val="00834D22"/>
    <w:rsid w:val="00835163"/>
    <w:rsid w:val="00835195"/>
    <w:rsid w:val="008354B8"/>
    <w:rsid w:val="00835FA4"/>
    <w:rsid w:val="00836801"/>
    <w:rsid w:val="00836ADB"/>
    <w:rsid w:val="0083701D"/>
    <w:rsid w:val="00837310"/>
    <w:rsid w:val="00840ACB"/>
    <w:rsid w:val="00840D06"/>
    <w:rsid w:val="008412B8"/>
    <w:rsid w:val="00841453"/>
    <w:rsid w:val="00841A94"/>
    <w:rsid w:val="00842428"/>
    <w:rsid w:val="008429FF"/>
    <w:rsid w:val="00842B39"/>
    <w:rsid w:val="00842E1B"/>
    <w:rsid w:val="008430AF"/>
    <w:rsid w:val="00844010"/>
    <w:rsid w:val="0084424A"/>
    <w:rsid w:val="0084477C"/>
    <w:rsid w:val="008452CE"/>
    <w:rsid w:val="00845442"/>
    <w:rsid w:val="00845744"/>
    <w:rsid w:val="00845AFC"/>
    <w:rsid w:val="00846234"/>
    <w:rsid w:val="008467D7"/>
    <w:rsid w:val="00846E77"/>
    <w:rsid w:val="00847183"/>
    <w:rsid w:val="008471D3"/>
    <w:rsid w:val="00847A7C"/>
    <w:rsid w:val="00847BA1"/>
    <w:rsid w:val="00847E98"/>
    <w:rsid w:val="008511FF"/>
    <w:rsid w:val="0085266C"/>
    <w:rsid w:val="00852936"/>
    <w:rsid w:val="00852C73"/>
    <w:rsid w:val="008535C0"/>
    <w:rsid w:val="008535EE"/>
    <w:rsid w:val="00853707"/>
    <w:rsid w:val="008537CB"/>
    <w:rsid w:val="00853DAE"/>
    <w:rsid w:val="00854032"/>
    <w:rsid w:val="008541E9"/>
    <w:rsid w:val="008542B1"/>
    <w:rsid w:val="0085442E"/>
    <w:rsid w:val="00855508"/>
    <w:rsid w:val="00855599"/>
    <w:rsid w:val="00855688"/>
    <w:rsid w:val="0085578B"/>
    <w:rsid w:val="00855CF4"/>
    <w:rsid w:val="00855F24"/>
    <w:rsid w:val="00856220"/>
    <w:rsid w:val="008579D1"/>
    <w:rsid w:val="00857AD1"/>
    <w:rsid w:val="00857CAC"/>
    <w:rsid w:val="00857E26"/>
    <w:rsid w:val="008600C6"/>
    <w:rsid w:val="008609BE"/>
    <w:rsid w:val="00860B7F"/>
    <w:rsid w:val="00861580"/>
    <w:rsid w:val="0086160A"/>
    <w:rsid w:val="0086178B"/>
    <w:rsid w:val="00861943"/>
    <w:rsid w:val="00861DE2"/>
    <w:rsid w:val="008622E8"/>
    <w:rsid w:val="008625C4"/>
    <w:rsid w:val="00862CCC"/>
    <w:rsid w:val="00862E15"/>
    <w:rsid w:val="00862E29"/>
    <w:rsid w:val="00863101"/>
    <w:rsid w:val="0086339C"/>
    <w:rsid w:val="00863ED7"/>
    <w:rsid w:val="0086427F"/>
    <w:rsid w:val="0086479B"/>
    <w:rsid w:val="00864A76"/>
    <w:rsid w:val="00864C98"/>
    <w:rsid w:val="00865373"/>
    <w:rsid w:val="00865734"/>
    <w:rsid w:val="00865FB5"/>
    <w:rsid w:val="0086626F"/>
    <w:rsid w:val="00866287"/>
    <w:rsid w:val="008668CA"/>
    <w:rsid w:val="00866AB9"/>
    <w:rsid w:val="00867239"/>
    <w:rsid w:val="0086725A"/>
    <w:rsid w:val="008676E6"/>
    <w:rsid w:val="0087000B"/>
    <w:rsid w:val="00871093"/>
    <w:rsid w:val="008719BC"/>
    <w:rsid w:val="008719CD"/>
    <w:rsid w:val="00872796"/>
    <w:rsid w:val="0087383F"/>
    <w:rsid w:val="00873FFE"/>
    <w:rsid w:val="00874558"/>
    <w:rsid w:val="00874A1A"/>
    <w:rsid w:val="00874A29"/>
    <w:rsid w:val="00875207"/>
    <w:rsid w:val="008752A6"/>
    <w:rsid w:val="00876B19"/>
    <w:rsid w:val="00876C61"/>
    <w:rsid w:val="00876F44"/>
    <w:rsid w:val="0087730A"/>
    <w:rsid w:val="00877594"/>
    <w:rsid w:val="00877844"/>
    <w:rsid w:val="00877C4E"/>
    <w:rsid w:val="00877C71"/>
    <w:rsid w:val="00877C8A"/>
    <w:rsid w:val="00880047"/>
    <w:rsid w:val="008805F7"/>
    <w:rsid w:val="00880DC1"/>
    <w:rsid w:val="008818F0"/>
    <w:rsid w:val="00882370"/>
    <w:rsid w:val="00882440"/>
    <w:rsid w:val="008827C5"/>
    <w:rsid w:val="00882864"/>
    <w:rsid w:val="008831E8"/>
    <w:rsid w:val="008832F0"/>
    <w:rsid w:val="0088394F"/>
    <w:rsid w:val="00883BF7"/>
    <w:rsid w:val="00884A7C"/>
    <w:rsid w:val="0088506F"/>
    <w:rsid w:val="008851EB"/>
    <w:rsid w:val="0088527E"/>
    <w:rsid w:val="00885387"/>
    <w:rsid w:val="00885691"/>
    <w:rsid w:val="008856FF"/>
    <w:rsid w:val="00886D24"/>
    <w:rsid w:val="00887053"/>
    <w:rsid w:val="008874E7"/>
    <w:rsid w:val="0089033F"/>
    <w:rsid w:val="00890540"/>
    <w:rsid w:val="008906FA"/>
    <w:rsid w:val="00890852"/>
    <w:rsid w:val="00890B81"/>
    <w:rsid w:val="00890CC0"/>
    <w:rsid w:val="008914A3"/>
    <w:rsid w:val="008918B3"/>
    <w:rsid w:val="0089190B"/>
    <w:rsid w:val="00891919"/>
    <w:rsid w:val="00891A47"/>
    <w:rsid w:val="00892415"/>
    <w:rsid w:val="00892D18"/>
    <w:rsid w:val="00893453"/>
    <w:rsid w:val="0089362F"/>
    <w:rsid w:val="00894848"/>
    <w:rsid w:val="008948B5"/>
    <w:rsid w:val="00894A94"/>
    <w:rsid w:val="00894BD9"/>
    <w:rsid w:val="00895C06"/>
    <w:rsid w:val="00895CCB"/>
    <w:rsid w:val="00896380"/>
    <w:rsid w:val="0089660C"/>
    <w:rsid w:val="00896A96"/>
    <w:rsid w:val="00896B28"/>
    <w:rsid w:val="0089740F"/>
    <w:rsid w:val="008976E1"/>
    <w:rsid w:val="008A0758"/>
    <w:rsid w:val="008A0AC9"/>
    <w:rsid w:val="008A13D6"/>
    <w:rsid w:val="008A2600"/>
    <w:rsid w:val="008A2704"/>
    <w:rsid w:val="008A3596"/>
    <w:rsid w:val="008A36B8"/>
    <w:rsid w:val="008A3DE5"/>
    <w:rsid w:val="008A47A9"/>
    <w:rsid w:val="008A490D"/>
    <w:rsid w:val="008A4D5A"/>
    <w:rsid w:val="008A4D8A"/>
    <w:rsid w:val="008A56F8"/>
    <w:rsid w:val="008A5BFB"/>
    <w:rsid w:val="008A615B"/>
    <w:rsid w:val="008A65F6"/>
    <w:rsid w:val="008A692B"/>
    <w:rsid w:val="008A6BFB"/>
    <w:rsid w:val="008A6CE8"/>
    <w:rsid w:val="008A79A6"/>
    <w:rsid w:val="008A7B77"/>
    <w:rsid w:val="008A7D74"/>
    <w:rsid w:val="008A7DEF"/>
    <w:rsid w:val="008B0440"/>
    <w:rsid w:val="008B0908"/>
    <w:rsid w:val="008B143F"/>
    <w:rsid w:val="008B1E75"/>
    <w:rsid w:val="008B25C9"/>
    <w:rsid w:val="008B29B2"/>
    <w:rsid w:val="008B2ADD"/>
    <w:rsid w:val="008B33E8"/>
    <w:rsid w:val="008B3979"/>
    <w:rsid w:val="008B39C2"/>
    <w:rsid w:val="008B3B2E"/>
    <w:rsid w:val="008B3B3C"/>
    <w:rsid w:val="008B3BD1"/>
    <w:rsid w:val="008B409E"/>
    <w:rsid w:val="008B495B"/>
    <w:rsid w:val="008B511D"/>
    <w:rsid w:val="008B519D"/>
    <w:rsid w:val="008B5888"/>
    <w:rsid w:val="008B5B73"/>
    <w:rsid w:val="008B631F"/>
    <w:rsid w:val="008B6685"/>
    <w:rsid w:val="008B6823"/>
    <w:rsid w:val="008B6D8C"/>
    <w:rsid w:val="008B6E57"/>
    <w:rsid w:val="008B718C"/>
    <w:rsid w:val="008B7F97"/>
    <w:rsid w:val="008C0998"/>
    <w:rsid w:val="008C0CFB"/>
    <w:rsid w:val="008C10EA"/>
    <w:rsid w:val="008C1632"/>
    <w:rsid w:val="008C19F6"/>
    <w:rsid w:val="008C1CEC"/>
    <w:rsid w:val="008C2079"/>
    <w:rsid w:val="008C20E1"/>
    <w:rsid w:val="008C2773"/>
    <w:rsid w:val="008C2E4C"/>
    <w:rsid w:val="008C3881"/>
    <w:rsid w:val="008C3BBF"/>
    <w:rsid w:val="008C4038"/>
    <w:rsid w:val="008C42F9"/>
    <w:rsid w:val="008C4BAA"/>
    <w:rsid w:val="008C4E92"/>
    <w:rsid w:val="008C517F"/>
    <w:rsid w:val="008C52DA"/>
    <w:rsid w:val="008C5863"/>
    <w:rsid w:val="008C5B32"/>
    <w:rsid w:val="008C5D79"/>
    <w:rsid w:val="008C5DD6"/>
    <w:rsid w:val="008C617A"/>
    <w:rsid w:val="008C6423"/>
    <w:rsid w:val="008C74D4"/>
    <w:rsid w:val="008C7A3A"/>
    <w:rsid w:val="008D003A"/>
    <w:rsid w:val="008D0637"/>
    <w:rsid w:val="008D0678"/>
    <w:rsid w:val="008D0ABD"/>
    <w:rsid w:val="008D1508"/>
    <w:rsid w:val="008D17E8"/>
    <w:rsid w:val="008D1BE0"/>
    <w:rsid w:val="008D1E6A"/>
    <w:rsid w:val="008D272A"/>
    <w:rsid w:val="008D47E2"/>
    <w:rsid w:val="008D4C0C"/>
    <w:rsid w:val="008D4F31"/>
    <w:rsid w:val="008D5322"/>
    <w:rsid w:val="008D5332"/>
    <w:rsid w:val="008D5EB2"/>
    <w:rsid w:val="008D6193"/>
    <w:rsid w:val="008D69B3"/>
    <w:rsid w:val="008D6FD3"/>
    <w:rsid w:val="008D719E"/>
    <w:rsid w:val="008D73A5"/>
    <w:rsid w:val="008D77F5"/>
    <w:rsid w:val="008D7CF7"/>
    <w:rsid w:val="008E03FB"/>
    <w:rsid w:val="008E044C"/>
    <w:rsid w:val="008E052E"/>
    <w:rsid w:val="008E05D7"/>
    <w:rsid w:val="008E0619"/>
    <w:rsid w:val="008E096A"/>
    <w:rsid w:val="008E0B29"/>
    <w:rsid w:val="008E12D8"/>
    <w:rsid w:val="008E1916"/>
    <w:rsid w:val="008E197A"/>
    <w:rsid w:val="008E22FE"/>
    <w:rsid w:val="008E26B5"/>
    <w:rsid w:val="008E2BC3"/>
    <w:rsid w:val="008E34FA"/>
    <w:rsid w:val="008E3542"/>
    <w:rsid w:val="008E36F4"/>
    <w:rsid w:val="008E37C6"/>
    <w:rsid w:val="008E39BC"/>
    <w:rsid w:val="008E4B87"/>
    <w:rsid w:val="008E5A95"/>
    <w:rsid w:val="008E5B55"/>
    <w:rsid w:val="008E5FDD"/>
    <w:rsid w:val="008E60FB"/>
    <w:rsid w:val="008E6311"/>
    <w:rsid w:val="008E65CD"/>
    <w:rsid w:val="008E6617"/>
    <w:rsid w:val="008E6655"/>
    <w:rsid w:val="008E6CCE"/>
    <w:rsid w:val="008E6D6A"/>
    <w:rsid w:val="008E7011"/>
    <w:rsid w:val="008E722C"/>
    <w:rsid w:val="008E7865"/>
    <w:rsid w:val="008F055D"/>
    <w:rsid w:val="008F10C3"/>
    <w:rsid w:val="008F11C5"/>
    <w:rsid w:val="008F178F"/>
    <w:rsid w:val="008F1FA5"/>
    <w:rsid w:val="008F1FB0"/>
    <w:rsid w:val="008F269D"/>
    <w:rsid w:val="008F2995"/>
    <w:rsid w:val="008F2DB8"/>
    <w:rsid w:val="008F32EE"/>
    <w:rsid w:val="008F34BF"/>
    <w:rsid w:val="008F3714"/>
    <w:rsid w:val="008F383A"/>
    <w:rsid w:val="008F3B9C"/>
    <w:rsid w:val="008F3D9C"/>
    <w:rsid w:val="008F4196"/>
    <w:rsid w:val="008F4AC9"/>
    <w:rsid w:val="008F4B4F"/>
    <w:rsid w:val="008F4D4D"/>
    <w:rsid w:val="008F4DDE"/>
    <w:rsid w:val="008F4F5E"/>
    <w:rsid w:val="008F50FD"/>
    <w:rsid w:val="008F56B0"/>
    <w:rsid w:val="008F589B"/>
    <w:rsid w:val="008F5C88"/>
    <w:rsid w:val="008F6553"/>
    <w:rsid w:val="008F6BBC"/>
    <w:rsid w:val="008F6ECA"/>
    <w:rsid w:val="008F726D"/>
    <w:rsid w:val="008F7E00"/>
    <w:rsid w:val="009001C2"/>
    <w:rsid w:val="00900729"/>
    <w:rsid w:val="009007CE"/>
    <w:rsid w:val="00900865"/>
    <w:rsid w:val="00900A12"/>
    <w:rsid w:val="00901442"/>
    <w:rsid w:val="00901641"/>
    <w:rsid w:val="00901773"/>
    <w:rsid w:val="009018AB"/>
    <w:rsid w:val="0090197D"/>
    <w:rsid w:val="009028ED"/>
    <w:rsid w:val="00902C1F"/>
    <w:rsid w:val="00903640"/>
    <w:rsid w:val="009038CE"/>
    <w:rsid w:val="00903DD7"/>
    <w:rsid w:val="009043EA"/>
    <w:rsid w:val="009051DD"/>
    <w:rsid w:val="009054C5"/>
    <w:rsid w:val="0090583E"/>
    <w:rsid w:val="009059E0"/>
    <w:rsid w:val="00906BF8"/>
    <w:rsid w:val="00907138"/>
    <w:rsid w:val="009075B6"/>
    <w:rsid w:val="00907A82"/>
    <w:rsid w:val="00907C6E"/>
    <w:rsid w:val="00907FAD"/>
    <w:rsid w:val="009101D2"/>
    <w:rsid w:val="00910388"/>
    <w:rsid w:val="009105C1"/>
    <w:rsid w:val="00910648"/>
    <w:rsid w:val="00910A7E"/>
    <w:rsid w:val="00910E57"/>
    <w:rsid w:val="00910ED9"/>
    <w:rsid w:val="0091112B"/>
    <w:rsid w:val="0091142A"/>
    <w:rsid w:val="00911582"/>
    <w:rsid w:val="0091181A"/>
    <w:rsid w:val="00911888"/>
    <w:rsid w:val="00911C97"/>
    <w:rsid w:val="0091253B"/>
    <w:rsid w:val="00912D46"/>
    <w:rsid w:val="00913525"/>
    <w:rsid w:val="00913613"/>
    <w:rsid w:val="00913C8D"/>
    <w:rsid w:val="00914028"/>
    <w:rsid w:val="0091412B"/>
    <w:rsid w:val="009143A3"/>
    <w:rsid w:val="0091440F"/>
    <w:rsid w:val="009149AF"/>
    <w:rsid w:val="00914B55"/>
    <w:rsid w:val="009152A3"/>
    <w:rsid w:val="00916077"/>
    <w:rsid w:val="00916687"/>
    <w:rsid w:val="009169E0"/>
    <w:rsid w:val="009176F3"/>
    <w:rsid w:val="0091775B"/>
    <w:rsid w:val="0091782C"/>
    <w:rsid w:val="00917E06"/>
    <w:rsid w:val="0092032C"/>
    <w:rsid w:val="0092046C"/>
    <w:rsid w:val="00920AA0"/>
    <w:rsid w:val="0092125F"/>
    <w:rsid w:val="00921403"/>
    <w:rsid w:val="00921AE2"/>
    <w:rsid w:val="00921B3A"/>
    <w:rsid w:val="00921E18"/>
    <w:rsid w:val="00921F90"/>
    <w:rsid w:val="00922415"/>
    <w:rsid w:val="009224E9"/>
    <w:rsid w:val="00922579"/>
    <w:rsid w:val="009225DD"/>
    <w:rsid w:val="0092283E"/>
    <w:rsid w:val="00922DB2"/>
    <w:rsid w:val="00922ECC"/>
    <w:rsid w:val="00922F29"/>
    <w:rsid w:val="009234BD"/>
    <w:rsid w:val="00923E29"/>
    <w:rsid w:val="009240FC"/>
    <w:rsid w:val="00924405"/>
    <w:rsid w:val="0092462E"/>
    <w:rsid w:val="0092470B"/>
    <w:rsid w:val="00925174"/>
    <w:rsid w:val="00925537"/>
    <w:rsid w:val="00925815"/>
    <w:rsid w:val="00925FD8"/>
    <w:rsid w:val="00926372"/>
    <w:rsid w:val="009264BF"/>
    <w:rsid w:val="00926D81"/>
    <w:rsid w:val="00927509"/>
    <w:rsid w:val="00930155"/>
    <w:rsid w:val="009302FA"/>
    <w:rsid w:val="009303E5"/>
    <w:rsid w:val="00930551"/>
    <w:rsid w:val="009306BD"/>
    <w:rsid w:val="009312C3"/>
    <w:rsid w:val="009316B6"/>
    <w:rsid w:val="0093170A"/>
    <w:rsid w:val="0093254F"/>
    <w:rsid w:val="00932971"/>
    <w:rsid w:val="00932A17"/>
    <w:rsid w:val="00932BA2"/>
    <w:rsid w:val="00932C81"/>
    <w:rsid w:val="00932C9B"/>
    <w:rsid w:val="009336E8"/>
    <w:rsid w:val="0093387E"/>
    <w:rsid w:val="009348EE"/>
    <w:rsid w:val="00935580"/>
    <w:rsid w:val="00935ADE"/>
    <w:rsid w:val="00935B09"/>
    <w:rsid w:val="0093697B"/>
    <w:rsid w:val="00937EEC"/>
    <w:rsid w:val="00940115"/>
    <w:rsid w:val="009401FC"/>
    <w:rsid w:val="00940294"/>
    <w:rsid w:val="0094029C"/>
    <w:rsid w:val="009402ED"/>
    <w:rsid w:val="00940493"/>
    <w:rsid w:val="00940CD8"/>
    <w:rsid w:val="009413D2"/>
    <w:rsid w:val="00941F7B"/>
    <w:rsid w:val="00941FF9"/>
    <w:rsid w:val="0094226F"/>
    <w:rsid w:val="00942551"/>
    <w:rsid w:val="009429A7"/>
    <w:rsid w:val="009429E5"/>
    <w:rsid w:val="00942A78"/>
    <w:rsid w:val="00942ABE"/>
    <w:rsid w:val="00942FCC"/>
    <w:rsid w:val="009431AF"/>
    <w:rsid w:val="0094322C"/>
    <w:rsid w:val="009432C2"/>
    <w:rsid w:val="00943EA9"/>
    <w:rsid w:val="0094407A"/>
    <w:rsid w:val="009440F0"/>
    <w:rsid w:val="00944679"/>
    <w:rsid w:val="00945A3A"/>
    <w:rsid w:val="00945E6D"/>
    <w:rsid w:val="00945FE5"/>
    <w:rsid w:val="00946135"/>
    <w:rsid w:val="00946250"/>
    <w:rsid w:val="0094686E"/>
    <w:rsid w:val="00946C52"/>
    <w:rsid w:val="00946D8C"/>
    <w:rsid w:val="00946EA7"/>
    <w:rsid w:val="00946F06"/>
    <w:rsid w:val="00947136"/>
    <w:rsid w:val="00947329"/>
    <w:rsid w:val="00947339"/>
    <w:rsid w:val="00950445"/>
    <w:rsid w:val="00950893"/>
    <w:rsid w:val="00950D35"/>
    <w:rsid w:val="009513BB"/>
    <w:rsid w:val="009516B3"/>
    <w:rsid w:val="009520B3"/>
    <w:rsid w:val="0095211A"/>
    <w:rsid w:val="009524BD"/>
    <w:rsid w:val="00952C93"/>
    <w:rsid w:val="00952D87"/>
    <w:rsid w:val="0095307C"/>
    <w:rsid w:val="009530B3"/>
    <w:rsid w:val="009534DF"/>
    <w:rsid w:val="00953EAD"/>
    <w:rsid w:val="00954221"/>
    <w:rsid w:val="00954367"/>
    <w:rsid w:val="00954804"/>
    <w:rsid w:val="009558F1"/>
    <w:rsid w:val="00955AD3"/>
    <w:rsid w:val="00955BA9"/>
    <w:rsid w:val="00955BD5"/>
    <w:rsid w:val="00955CEA"/>
    <w:rsid w:val="00956113"/>
    <w:rsid w:val="009566E2"/>
    <w:rsid w:val="00956972"/>
    <w:rsid w:val="009569A1"/>
    <w:rsid w:val="00956C6E"/>
    <w:rsid w:val="00956DF3"/>
    <w:rsid w:val="00957330"/>
    <w:rsid w:val="00957536"/>
    <w:rsid w:val="0095766B"/>
    <w:rsid w:val="009607F5"/>
    <w:rsid w:val="00960AF8"/>
    <w:rsid w:val="009615D7"/>
    <w:rsid w:val="00961975"/>
    <w:rsid w:val="00962814"/>
    <w:rsid w:val="00963094"/>
    <w:rsid w:val="0096345F"/>
    <w:rsid w:val="0096366C"/>
    <w:rsid w:val="00963854"/>
    <w:rsid w:val="00963E51"/>
    <w:rsid w:val="00964335"/>
    <w:rsid w:val="009646EC"/>
    <w:rsid w:val="00964D89"/>
    <w:rsid w:val="009651E7"/>
    <w:rsid w:val="00965348"/>
    <w:rsid w:val="0096544E"/>
    <w:rsid w:val="009657B2"/>
    <w:rsid w:val="00965956"/>
    <w:rsid w:val="00965B46"/>
    <w:rsid w:val="009670FC"/>
    <w:rsid w:val="0096756C"/>
    <w:rsid w:val="009677EB"/>
    <w:rsid w:val="00967AD3"/>
    <w:rsid w:val="00970743"/>
    <w:rsid w:val="00971A6D"/>
    <w:rsid w:val="00971C58"/>
    <w:rsid w:val="00971D23"/>
    <w:rsid w:val="009728E8"/>
    <w:rsid w:val="00972A4C"/>
    <w:rsid w:val="0097329A"/>
    <w:rsid w:val="00973628"/>
    <w:rsid w:val="00973790"/>
    <w:rsid w:val="00973FEF"/>
    <w:rsid w:val="0097467A"/>
    <w:rsid w:val="00974E57"/>
    <w:rsid w:val="009750DE"/>
    <w:rsid w:val="009750E8"/>
    <w:rsid w:val="00976046"/>
    <w:rsid w:val="009760A5"/>
    <w:rsid w:val="0097699E"/>
    <w:rsid w:val="009770C9"/>
    <w:rsid w:val="00977C6C"/>
    <w:rsid w:val="00980F74"/>
    <w:rsid w:val="0098114C"/>
    <w:rsid w:val="00981F7F"/>
    <w:rsid w:val="00981FA5"/>
    <w:rsid w:val="009836A2"/>
    <w:rsid w:val="00983865"/>
    <w:rsid w:val="0098413A"/>
    <w:rsid w:val="009841DC"/>
    <w:rsid w:val="00984795"/>
    <w:rsid w:val="00984E8D"/>
    <w:rsid w:val="00984F2E"/>
    <w:rsid w:val="00985BE6"/>
    <w:rsid w:val="00985D46"/>
    <w:rsid w:val="009860BE"/>
    <w:rsid w:val="00986275"/>
    <w:rsid w:val="00987BC7"/>
    <w:rsid w:val="009901EC"/>
    <w:rsid w:val="00990D4C"/>
    <w:rsid w:val="00991241"/>
    <w:rsid w:val="0099127F"/>
    <w:rsid w:val="0099132B"/>
    <w:rsid w:val="00991479"/>
    <w:rsid w:val="009916DD"/>
    <w:rsid w:val="00991895"/>
    <w:rsid w:val="00992249"/>
    <w:rsid w:val="00992D21"/>
    <w:rsid w:val="0099302C"/>
    <w:rsid w:val="009930F7"/>
    <w:rsid w:val="009934F9"/>
    <w:rsid w:val="009936AF"/>
    <w:rsid w:val="0099396A"/>
    <w:rsid w:val="00993BBF"/>
    <w:rsid w:val="00994092"/>
    <w:rsid w:val="009945A2"/>
    <w:rsid w:val="00995304"/>
    <w:rsid w:val="0099570B"/>
    <w:rsid w:val="00995845"/>
    <w:rsid w:val="00995C03"/>
    <w:rsid w:val="00995C14"/>
    <w:rsid w:val="00996180"/>
    <w:rsid w:val="00996231"/>
    <w:rsid w:val="00996336"/>
    <w:rsid w:val="00996B0C"/>
    <w:rsid w:val="009A0386"/>
    <w:rsid w:val="009A0CA0"/>
    <w:rsid w:val="009A0E0E"/>
    <w:rsid w:val="009A0FF3"/>
    <w:rsid w:val="009A1583"/>
    <w:rsid w:val="009A1E12"/>
    <w:rsid w:val="009A232A"/>
    <w:rsid w:val="009A2461"/>
    <w:rsid w:val="009A24F5"/>
    <w:rsid w:val="009A271D"/>
    <w:rsid w:val="009A27C0"/>
    <w:rsid w:val="009A29E2"/>
    <w:rsid w:val="009A2F3B"/>
    <w:rsid w:val="009A31B4"/>
    <w:rsid w:val="009A3B06"/>
    <w:rsid w:val="009A3BCE"/>
    <w:rsid w:val="009A46B4"/>
    <w:rsid w:val="009A46E7"/>
    <w:rsid w:val="009A47B8"/>
    <w:rsid w:val="009A4A15"/>
    <w:rsid w:val="009A4C32"/>
    <w:rsid w:val="009A4F4D"/>
    <w:rsid w:val="009A5494"/>
    <w:rsid w:val="009A5558"/>
    <w:rsid w:val="009A5783"/>
    <w:rsid w:val="009A5BBD"/>
    <w:rsid w:val="009A5E1A"/>
    <w:rsid w:val="009A6157"/>
    <w:rsid w:val="009A6864"/>
    <w:rsid w:val="009A7A4C"/>
    <w:rsid w:val="009B0007"/>
    <w:rsid w:val="009B0055"/>
    <w:rsid w:val="009B0845"/>
    <w:rsid w:val="009B08D2"/>
    <w:rsid w:val="009B0A15"/>
    <w:rsid w:val="009B0BC4"/>
    <w:rsid w:val="009B0D96"/>
    <w:rsid w:val="009B21D9"/>
    <w:rsid w:val="009B27AB"/>
    <w:rsid w:val="009B311A"/>
    <w:rsid w:val="009B360B"/>
    <w:rsid w:val="009B4942"/>
    <w:rsid w:val="009B4E61"/>
    <w:rsid w:val="009B511C"/>
    <w:rsid w:val="009B5362"/>
    <w:rsid w:val="009B5785"/>
    <w:rsid w:val="009B57A0"/>
    <w:rsid w:val="009B593E"/>
    <w:rsid w:val="009B5ACC"/>
    <w:rsid w:val="009B5D9E"/>
    <w:rsid w:val="009B5E01"/>
    <w:rsid w:val="009B6731"/>
    <w:rsid w:val="009B7D02"/>
    <w:rsid w:val="009C00D6"/>
    <w:rsid w:val="009C0153"/>
    <w:rsid w:val="009C017E"/>
    <w:rsid w:val="009C01BD"/>
    <w:rsid w:val="009C0260"/>
    <w:rsid w:val="009C0613"/>
    <w:rsid w:val="009C076A"/>
    <w:rsid w:val="009C07DA"/>
    <w:rsid w:val="009C0E77"/>
    <w:rsid w:val="009C1F24"/>
    <w:rsid w:val="009C210E"/>
    <w:rsid w:val="009C239C"/>
    <w:rsid w:val="009C2528"/>
    <w:rsid w:val="009C25B6"/>
    <w:rsid w:val="009C2653"/>
    <w:rsid w:val="009C267C"/>
    <w:rsid w:val="009C2716"/>
    <w:rsid w:val="009C29FA"/>
    <w:rsid w:val="009C2C62"/>
    <w:rsid w:val="009C2E59"/>
    <w:rsid w:val="009C3B72"/>
    <w:rsid w:val="009C3E8F"/>
    <w:rsid w:val="009C3FE9"/>
    <w:rsid w:val="009C4628"/>
    <w:rsid w:val="009C4F0E"/>
    <w:rsid w:val="009C5120"/>
    <w:rsid w:val="009C55CE"/>
    <w:rsid w:val="009C5D57"/>
    <w:rsid w:val="009C67E8"/>
    <w:rsid w:val="009C6828"/>
    <w:rsid w:val="009C6839"/>
    <w:rsid w:val="009C6F8F"/>
    <w:rsid w:val="009C6FCE"/>
    <w:rsid w:val="009C7216"/>
    <w:rsid w:val="009C737D"/>
    <w:rsid w:val="009C7AD1"/>
    <w:rsid w:val="009C7ED4"/>
    <w:rsid w:val="009D07B1"/>
    <w:rsid w:val="009D0B4F"/>
    <w:rsid w:val="009D0BD6"/>
    <w:rsid w:val="009D0EC2"/>
    <w:rsid w:val="009D1B21"/>
    <w:rsid w:val="009D1B83"/>
    <w:rsid w:val="009D1C5E"/>
    <w:rsid w:val="009D1D92"/>
    <w:rsid w:val="009D2017"/>
    <w:rsid w:val="009D27E7"/>
    <w:rsid w:val="009D2906"/>
    <w:rsid w:val="009D2B0B"/>
    <w:rsid w:val="009D3351"/>
    <w:rsid w:val="009D370D"/>
    <w:rsid w:val="009D3855"/>
    <w:rsid w:val="009D38FE"/>
    <w:rsid w:val="009D394E"/>
    <w:rsid w:val="009D3C12"/>
    <w:rsid w:val="009D3E03"/>
    <w:rsid w:val="009D4084"/>
    <w:rsid w:val="009D4441"/>
    <w:rsid w:val="009D4887"/>
    <w:rsid w:val="009D5912"/>
    <w:rsid w:val="009D5B60"/>
    <w:rsid w:val="009D5F81"/>
    <w:rsid w:val="009D5FC8"/>
    <w:rsid w:val="009D610E"/>
    <w:rsid w:val="009D68D1"/>
    <w:rsid w:val="009D6DFB"/>
    <w:rsid w:val="009D7006"/>
    <w:rsid w:val="009D7C3A"/>
    <w:rsid w:val="009D7E0A"/>
    <w:rsid w:val="009E00E5"/>
    <w:rsid w:val="009E04FD"/>
    <w:rsid w:val="009E0926"/>
    <w:rsid w:val="009E0A92"/>
    <w:rsid w:val="009E1094"/>
    <w:rsid w:val="009E31DC"/>
    <w:rsid w:val="009E327F"/>
    <w:rsid w:val="009E3AB0"/>
    <w:rsid w:val="009E3B0C"/>
    <w:rsid w:val="009E3D5B"/>
    <w:rsid w:val="009E4231"/>
    <w:rsid w:val="009E4A42"/>
    <w:rsid w:val="009E4B50"/>
    <w:rsid w:val="009E4F23"/>
    <w:rsid w:val="009E52D9"/>
    <w:rsid w:val="009E5C80"/>
    <w:rsid w:val="009E6645"/>
    <w:rsid w:val="009E68D6"/>
    <w:rsid w:val="009E6D8E"/>
    <w:rsid w:val="009E77DB"/>
    <w:rsid w:val="009E77EA"/>
    <w:rsid w:val="009E78B2"/>
    <w:rsid w:val="009F002B"/>
    <w:rsid w:val="009F0097"/>
    <w:rsid w:val="009F05F3"/>
    <w:rsid w:val="009F09B2"/>
    <w:rsid w:val="009F10EA"/>
    <w:rsid w:val="009F1551"/>
    <w:rsid w:val="009F15A9"/>
    <w:rsid w:val="009F1834"/>
    <w:rsid w:val="009F18A7"/>
    <w:rsid w:val="009F35A5"/>
    <w:rsid w:val="009F3852"/>
    <w:rsid w:val="009F3EF2"/>
    <w:rsid w:val="009F3F50"/>
    <w:rsid w:val="009F4729"/>
    <w:rsid w:val="009F48A2"/>
    <w:rsid w:val="009F496B"/>
    <w:rsid w:val="009F4D65"/>
    <w:rsid w:val="009F57DD"/>
    <w:rsid w:val="009F60DC"/>
    <w:rsid w:val="009F6994"/>
    <w:rsid w:val="009F6F0A"/>
    <w:rsid w:val="009F7318"/>
    <w:rsid w:val="009F7378"/>
    <w:rsid w:val="009F752A"/>
    <w:rsid w:val="009F7692"/>
    <w:rsid w:val="009F7739"/>
    <w:rsid w:val="009F7945"/>
    <w:rsid w:val="009F7B80"/>
    <w:rsid w:val="009F7D1E"/>
    <w:rsid w:val="00A00475"/>
    <w:rsid w:val="00A0052F"/>
    <w:rsid w:val="00A00E5E"/>
    <w:rsid w:val="00A01A61"/>
    <w:rsid w:val="00A01C07"/>
    <w:rsid w:val="00A01CA3"/>
    <w:rsid w:val="00A01E4F"/>
    <w:rsid w:val="00A022D3"/>
    <w:rsid w:val="00A02304"/>
    <w:rsid w:val="00A034B6"/>
    <w:rsid w:val="00A03E48"/>
    <w:rsid w:val="00A0429D"/>
    <w:rsid w:val="00A042B4"/>
    <w:rsid w:val="00A04395"/>
    <w:rsid w:val="00A050CD"/>
    <w:rsid w:val="00A0522D"/>
    <w:rsid w:val="00A05467"/>
    <w:rsid w:val="00A05EB2"/>
    <w:rsid w:val="00A0691D"/>
    <w:rsid w:val="00A06ABA"/>
    <w:rsid w:val="00A06D4A"/>
    <w:rsid w:val="00A06DDD"/>
    <w:rsid w:val="00A06EEB"/>
    <w:rsid w:val="00A07373"/>
    <w:rsid w:val="00A07969"/>
    <w:rsid w:val="00A07DCB"/>
    <w:rsid w:val="00A10F65"/>
    <w:rsid w:val="00A1134C"/>
    <w:rsid w:val="00A118B5"/>
    <w:rsid w:val="00A12529"/>
    <w:rsid w:val="00A12BB0"/>
    <w:rsid w:val="00A131D9"/>
    <w:rsid w:val="00A13329"/>
    <w:rsid w:val="00A135D1"/>
    <w:rsid w:val="00A13CBD"/>
    <w:rsid w:val="00A13D23"/>
    <w:rsid w:val="00A13FC6"/>
    <w:rsid w:val="00A1422E"/>
    <w:rsid w:val="00A143CF"/>
    <w:rsid w:val="00A14E32"/>
    <w:rsid w:val="00A14FCB"/>
    <w:rsid w:val="00A15052"/>
    <w:rsid w:val="00A15559"/>
    <w:rsid w:val="00A16393"/>
    <w:rsid w:val="00A1651E"/>
    <w:rsid w:val="00A167B1"/>
    <w:rsid w:val="00A1711F"/>
    <w:rsid w:val="00A2089E"/>
    <w:rsid w:val="00A20A73"/>
    <w:rsid w:val="00A20A83"/>
    <w:rsid w:val="00A21FB0"/>
    <w:rsid w:val="00A22567"/>
    <w:rsid w:val="00A22ABE"/>
    <w:rsid w:val="00A236EF"/>
    <w:rsid w:val="00A238C5"/>
    <w:rsid w:val="00A23ACF"/>
    <w:rsid w:val="00A23E38"/>
    <w:rsid w:val="00A23F4D"/>
    <w:rsid w:val="00A2421F"/>
    <w:rsid w:val="00A243B7"/>
    <w:rsid w:val="00A247B0"/>
    <w:rsid w:val="00A247D2"/>
    <w:rsid w:val="00A24BD3"/>
    <w:rsid w:val="00A24FB3"/>
    <w:rsid w:val="00A2570A"/>
    <w:rsid w:val="00A2590B"/>
    <w:rsid w:val="00A26470"/>
    <w:rsid w:val="00A2677E"/>
    <w:rsid w:val="00A26971"/>
    <w:rsid w:val="00A26BFD"/>
    <w:rsid w:val="00A26D17"/>
    <w:rsid w:val="00A26ED1"/>
    <w:rsid w:val="00A2783C"/>
    <w:rsid w:val="00A27865"/>
    <w:rsid w:val="00A3014E"/>
    <w:rsid w:val="00A3095C"/>
    <w:rsid w:val="00A30E9E"/>
    <w:rsid w:val="00A31398"/>
    <w:rsid w:val="00A320BF"/>
    <w:rsid w:val="00A32120"/>
    <w:rsid w:val="00A33091"/>
    <w:rsid w:val="00A33737"/>
    <w:rsid w:val="00A33994"/>
    <w:rsid w:val="00A33D62"/>
    <w:rsid w:val="00A34831"/>
    <w:rsid w:val="00A34C43"/>
    <w:rsid w:val="00A34DC9"/>
    <w:rsid w:val="00A35896"/>
    <w:rsid w:val="00A35B34"/>
    <w:rsid w:val="00A363CF"/>
    <w:rsid w:val="00A3664F"/>
    <w:rsid w:val="00A36F1F"/>
    <w:rsid w:val="00A37308"/>
    <w:rsid w:val="00A375EF"/>
    <w:rsid w:val="00A376D2"/>
    <w:rsid w:val="00A37C63"/>
    <w:rsid w:val="00A40138"/>
    <w:rsid w:val="00A4013C"/>
    <w:rsid w:val="00A40B13"/>
    <w:rsid w:val="00A40CB4"/>
    <w:rsid w:val="00A40FB0"/>
    <w:rsid w:val="00A42083"/>
    <w:rsid w:val="00A42182"/>
    <w:rsid w:val="00A4227E"/>
    <w:rsid w:val="00A42535"/>
    <w:rsid w:val="00A4287A"/>
    <w:rsid w:val="00A42972"/>
    <w:rsid w:val="00A42ECE"/>
    <w:rsid w:val="00A4308E"/>
    <w:rsid w:val="00A434C8"/>
    <w:rsid w:val="00A43AE3"/>
    <w:rsid w:val="00A43C39"/>
    <w:rsid w:val="00A442CF"/>
    <w:rsid w:val="00A4566B"/>
    <w:rsid w:val="00A4575B"/>
    <w:rsid w:val="00A457AE"/>
    <w:rsid w:val="00A45CAC"/>
    <w:rsid w:val="00A4608E"/>
    <w:rsid w:val="00A4691D"/>
    <w:rsid w:val="00A46924"/>
    <w:rsid w:val="00A46BC1"/>
    <w:rsid w:val="00A46F20"/>
    <w:rsid w:val="00A47C65"/>
    <w:rsid w:val="00A47D11"/>
    <w:rsid w:val="00A47F43"/>
    <w:rsid w:val="00A50109"/>
    <w:rsid w:val="00A501D3"/>
    <w:rsid w:val="00A5071B"/>
    <w:rsid w:val="00A507A7"/>
    <w:rsid w:val="00A508E0"/>
    <w:rsid w:val="00A50AA6"/>
    <w:rsid w:val="00A51456"/>
    <w:rsid w:val="00A5168D"/>
    <w:rsid w:val="00A517FE"/>
    <w:rsid w:val="00A5187E"/>
    <w:rsid w:val="00A519CA"/>
    <w:rsid w:val="00A519F5"/>
    <w:rsid w:val="00A51C4E"/>
    <w:rsid w:val="00A51FDF"/>
    <w:rsid w:val="00A522E0"/>
    <w:rsid w:val="00A5255A"/>
    <w:rsid w:val="00A5295B"/>
    <w:rsid w:val="00A534F6"/>
    <w:rsid w:val="00A53725"/>
    <w:rsid w:val="00A55007"/>
    <w:rsid w:val="00A55449"/>
    <w:rsid w:val="00A55CBC"/>
    <w:rsid w:val="00A5677A"/>
    <w:rsid w:val="00A569AF"/>
    <w:rsid w:val="00A56C81"/>
    <w:rsid w:val="00A56F1A"/>
    <w:rsid w:val="00A57BBD"/>
    <w:rsid w:val="00A57CC4"/>
    <w:rsid w:val="00A60617"/>
    <w:rsid w:val="00A60C85"/>
    <w:rsid w:val="00A610D8"/>
    <w:rsid w:val="00A61CE4"/>
    <w:rsid w:val="00A629DC"/>
    <w:rsid w:val="00A62CA2"/>
    <w:rsid w:val="00A64006"/>
    <w:rsid w:val="00A6440D"/>
    <w:rsid w:val="00A645CC"/>
    <w:rsid w:val="00A64D8C"/>
    <w:rsid w:val="00A657A6"/>
    <w:rsid w:val="00A6633A"/>
    <w:rsid w:val="00A667EB"/>
    <w:rsid w:val="00A66DE9"/>
    <w:rsid w:val="00A66F32"/>
    <w:rsid w:val="00A674A3"/>
    <w:rsid w:val="00A70921"/>
    <w:rsid w:val="00A70AF4"/>
    <w:rsid w:val="00A70CC1"/>
    <w:rsid w:val="00A7110A"/>
    <w:rsid w:val="00A71306"/>
    <w:rsid w:val="00A71C97"/>
    <w:rsid w:val="00A71FC7"/>
    <w:rsid w:val="00A72193"/>
    <w:rsid w:val="00A722C1"/>
    <w:rsid w:val="00A723C4"/>
    <w:rsid w:val="00A7273F"/>
    <w:rsid w:val="00A72B86"/>
    <w:rsid w:val="00A742A4"/>
    <w:rsid w:val="00A74678"/>
    <w:rsid w:val="00A74C80"/>
    <w:rsid w:val="00A75466"/>
    <w:rsid w:val="00A75533"/>
    <w:rsid w:val="00A7569F"/>
    <w:rsid w:val="00A75A36"/>
    <w:rsid w:val="00A75F00"/>
    <w:rsid w:val="00A76193"/>
    <w:rsid w:val="00A76416"/>
    <w:rsid w:val="00A76A2C"/>
    <w:rsid w:val="00A76BD5"/>
    <w:rsid w:val="00A76D08"/>
    <w:rsid w:val="00A77751"/>
    <w:rsid w:val="00A77DDE"/>
    <w:rsid w:val="00A807FB"/>
    <w:rsid w:val="00A80C35"/>
    <w:rsid w:val="00A81DC1"/>
    <w:rsid w:val="00A8259B"/>
    <w:rsid w:val="00A82AE1"/>
    <w:rsid w:val="00A838AA"/>
    <w:rsid w:val="00A83A01"/>
    <w:rsid w:val="00A83D5D"/>
    <w:rsid w:val="00A84798"/>
    <w:rsid w:val="00A85056"/>
    <w:rsid w:val="00A8510D"/>
    <w:rsid w:val="00A85176"/>
    <w:rsid w:val="00A8542C"/>
    <w:rsid w:val="00A858FD"/>
    <w:rsid w:val="00A86333"/>
    <w:rsid w:val="00A86CFB"/>
    <w:rsid w:val="00A86FFA"/>
    <w:rsid w:val="00A8735A"/>
    <w:rsid w:val="00A87A14"/>
    <w:rsid w:val="00A87B27"/>
    <w:rsid w:val="00A900C6"/>
    <w:rsid w:val="00A9064B"/>
    <w:rsid w:val="00A9099A"/>
    <w:rsid w:val="00A9111E"/>
    <w:rsid w:val="00A925B9"/>
    <w:rsid w:val="00A92930"/>
    <w:rsid w:val="00A92D90"/>
    <w:rsid w:val="00A934F0"/>
    <w:rsid w:val="00A938B1"/>
    <w:rsid w:val="00A93DA6"/>
    <w:rsid w:val="00A94342"/>
    <w:rsid w:val="00A944EA"/>
    <w:rsid w:val="00A94FB0"/>
    <w:rsid w:val="00A953F8"/>
    <w:rsid w:val="00A957AE"/>
    <w:rsid w:val="00A95A84"/>
    <w:rsid w:val="00A95CFC"/>
    <w:rsid w:val="00A96BE2"/>
    <w:rsid w:val="00A96C34"/>
    <w:rsid w:val="00A96C58"/>
    <w:rsid w:val="00A97117"/>
    <w:rsid w:val="00A97692"/>
    <w:rsid w:val="00A97723"/>
    <w:rsid w:val="00A97C47"/>
    <w:rsid w:val="00A97D5B"/>
    <w:rsid w:val="00AA0175"/>
    <w:rsid w:val="00AA04CB"/>
    <w:rsid w:val="00AA051F"/>
    <w:rsid w:val="00AA0712"/>
    <w:rsid w:val="00AA0DCE"/>
    <w:rsid w:val="00AA1106"/>
    <w:rsid w:val="00AA18D9"/>
    <w:rsid w:val="00AA1AFF"/>
    <w:rsid w:val="00AA1EFA"/>
    <w:rsid w:val="00AA1F22"/>
    <w:rsid w:val="00AA2ABB"/>
    <w:rsid w:val="00AA2ADB"/>
    <w:rsid w:val="00AA2C8E"/>
    <w:rsid w:val="00AA3758"/>
    <w:rsid w:val="00AA3846"/>
    <w:rsid w:val="00AA3962"/>
    <w:rsid w:val="00AA3A7B"/>
    <w:rsid w:val="00AA4545"/>
    <w:rsid w:val="00AA4648"/>
    <w:rsid w:val="00AA5295"/>
    <w:rsid w:val="00AA53BD"/>
    <w:rsid w:val="00AA57B5"/>
    <w:rsid w:val="00AA60D3"/>
    <w:rsid w:val="00AA68A0"/>
    <w:rsid w:val="00AA6BE8"/>
    <w:rsid w:val="00AA6C42"/>
    <w:rsid w:val="00AA70AA"/>
    <w:rsid w:val="00AA7348"/>
    <w:rsid w:val="00AA7D34"/>
    <w:rsid w:val="00AB0B42"/>
    <w:rsid w:val="00AB0BC0"/>
    <w:rsid w:val="00AB1313"/>
    <w:rsid w:val="00AB15AF"/>
    <w:rsid w:val="00AB1B7C"/>
    <w:rsid w:val="00AB2223"/>
    <w:rsid w:val="00AB28C0"/>
    <w:rsid w:val="00AB2D9C"/>
    <w:rsid w:val="00AB2FEA"/>
    <w:rsid w:val="00AB3972"/>
    <w:rsid w:val="00AB3C6F"/>
    <w:rsid w:val="00AB40A4"/>
    <w:rsid w:val="00AB4380"/>
    <w:rsid w:val="00AB46DE"/>
    <w:rsid w:val="00AB4C98"/>
    <w:rsid w:val="00AB5348"/>
    <w:rsid w:val="00AB5D3B"/>
    <w:rsid w:val="00AB5FED"/>
    <w:rsid w:val="00AB6145"/>
    <w:rsid w:val="00AB6687"/>
    <w:rsid w:val="00AB6BD4"/>
    <w:rsid w:val="00AB7260"/>
    <w:rsid w:val="00AB756E"/>
    <w:rsid w:val="00AB796F"/>
    <w:rsid w:val="00AC015B"/>
    <w:rsid w:val="00AC0226"/>
    <w:rsid w:val="00AC025E"/>
    <w:rsid w:val="00AC061E"/>
    <w:rsid w:val="00AC0E27"/>
    <w:rsid w:val="00AC0F40"/>
    <w:rsid w:val="00AC197C"/>
    <w:rsid w:val="00AC2AB5"/>
    <w:rsid w:val="00AC3A3E"/>
    <w:rsid w:val="00AC3A72"/>
    <w:rsid w:val="00AC3AD0"/>
    <w:rsid w:val="00AC4846"/>
    <w:rsid w:val="00AC49BF"/>
    <w:rsid w:val="00AC52C8"/>
    <w:rsid w:val="00AC57EA"/>
    <w:rsid w:val="00AC5F39"/>
    <w:rsid w:val="00AC6346"/>
    <w:rsid w:val="00AC641C"/>
    <w:rsid w:val="00AC6836"/>
    <w:rsid w:val="00AC6FBC"/>
    <w:rsid w:val="00AC727F"/>
    <w:rsid w:val="00AC732E"/>
    <w:rsid w:val="00AC79C9"/>
    <w:rsid w:val="00AC7A04"/>
    <w:rsid w:val="00AC7A54"/>
    <w:rsid w:val="00AC7EED"/>
    <w:rsid w:val="00AD053B"/>
    <w:rsid w:val="00AD0C23"/>
    <w:rsid w:val="00AD0E43"/>
    <w:rsid w:val="00AD11A7"/>
    <w:rsid w:val="00AD11AD"/>
    <w:rsid w:val="00AD1738"/>
    <w:rsid w:val="00AD1AEC"/>
    <w:rsid w:val="00AD1D91"/>
    <w:rsid w:val="00AD1E89"/>
    <w:rsid w:val="00AD21EC"/>
    <w:rsid w:val="00AD2386"/>
    <w:rsid w:val="00AD3046"/>
    <w:rsid w:val="00AD337A"/>
    <w:rsid w:val="00AD3870"/>
    <w:rsid w:val="00AD3E15"/>
    <w:rsid w:val="00AD3FD1"/>
    <w:rsid w:val="00AD43E1"/>
    <w:rsid w:val="00AD444A"/>
    <w:rsid w:val="00AD44DF"/>
    <w:rsid w:val="00AD4AB1"/>
    <w:rsid w:val="00AD4D15"/>
    <w:rsid w:val="00AD4FA9"/>
    <w:rsid w:val="00AD59B6"/>
    <w:rsid w:val="00AD5B83"/>
    <w:rsid w:val="00AD5E5E"/>
    <w:rsid w:val="00AD5F4C"/>
    <w:rsid w:val="00AD6264"/>
    <w:rsid w:val="00AD6729"/>
    <w:rsid w:val="00AD6974"/>
    <w:rsid w:val="00AD73DA"/>
    <w:rsid w:val="00AD7519"/>
    <w:rsid w:val="00AD76EE"/>
    <w:rsid w:val="00AD7941"/>
    <w:rsid w:val="00AD7E32"/>
    <w:rsid w:val="00AE0591"/>
    <w:rsid w:val="00AE0621"/>
    <w:rsid w:val="00AE0644"/>
    <w:rsid w:val="00AE099C"/>
    <w:rsid w:val="00AE0B03"/>
    <w:rsid w:val="00AE1212"/>
    <w:rsid w:val="00AE150D"/>
    <w:rsid w:val="00AE1B24"/>
    <w:rsid w:val="00AE1C9C"/>
    <w:rsid w:val="00AE1D0C"/>
    <w:rsid w:val="00AE21A8"/>
    <w:rsid w:val="00AE25D3"/>
    <w:rsid w:val="00AE281D"/>
    <w:rsid w:val="00AE2893"/>
    <w:rsid w:val="00AE34FE"/>
    <w:rsid w:val="00AE3621"/>
    <w:rsid w:val="00AE38E7"/>
    <w:rsid w:val="00AE4C34"/>
    <w:rsid w:val="00AE5034"/>
    <w:rsid w:val="00AE55E9"/>
    <w:rsid w:val="00AE57C0"/>
    <w:rsid w:val="00AE5B83"/>
    <w:rsid w:val="00AE5BF2"/>
    <w:rsid w:val="00AE6250"/>
    <w:rsid w:val="00AE68A1"/>
    <w:rsid w:val="00AE6EF1"/>
    <w:rsid w:val="00AE6F1E"/>
    <w:rsid w:val="00AE7157"/>
    <w:rsid w:val="00AE7463"/>
    <w:rsid w:val="00AE759E"/>
    <w:rsid w:val="00AE7793"/>
    <w:rsid w:val="00AE7CAA"/>
    <w:rsid w:val="00AE7D58"/>
    <w:rsid w:val="00AF0068"/>
    <w:rsid w:val="00AF0111"/>
    <w:rsid w:val="00AF03A8"/>
    <w:rsid w:val="00AF0908"/>
    <w:rsid w:val="00AF0C6C"/>
    <w:rsid w:val="00AF0DAD"/>
    <w:rsid w:val="00AF1015"/>
    <w:rsid w:val="00AF1669"/>
    <w:rsid w:val="00AF1BEE"/>
    <w:rsid w:val="00AF1C9D"/>
    <w:rsid w:val="00AF1D09"/>
    <w:rsid w:val="00AF3C4F"/>
    <w:rsid w:val="00AF3D9E"/>
    <w:rsid w:val="00AF43A6"/>
    <w:rsid w:val="00AF4B97"/>
    <w:rsid w:val="00AF4E14"/>
    <w:rsid w:val="00AF51E5"/>
    <w:rsid w:val="00AF56C8"/>
    <w:rsid w:val="00AF5AEA"/>
    <w:rsid w:val="00AF5FAB"/>
    <w:rsid w:val="00AF6379"/>
    <w:rsid w:val="00AF66E9"/>
    <w:rsid w:val="00AF678B"/>
    <w:rsid w:val="00AF719A"/>
    <w:rsid w:val="00AF7523"/>
    <w:rsid w:val="00AF7866"/>
    <w:rsid w:val="00AF7D6C"/>
    <w:rsid w:val="00B00415"/>
    <w:rsid w:val="00B0050D"/>
    <w:rsid w:val="00B0054C"/>
    <w:rsid w:val="00B0085B"/>
    <w:rsid w:val="00B00AEF"/>
    <w:rsid w:val="00B01586"/>
    <w:rsid w:val="00B0187E"/>
    <w:rsid w:val="00B01DB6"/>
    <w:rsid w:val="00B024B7"/>
    <w:rsid w:val="00B02702"/>
    <w:rsid w:val="00B029E2"/>
    <w:rsid w:val="00B0394E"/>
    <w:rsid w:val="00B03DD7"/>
    <w:rsid w:val="00B0416C"/>
    <w:rsid w:val="00B04746"/>
    <w:rsid w:val="00B04BAF"/>
    <w:rsid w:val="00B04C91"/>
    <w:rsid w:val="00B04EE9"/>
    <w:rsid w:val="00B04F9B"/>
    <w:rsid w:val="00B0525F"/>
    <w:rsid w:val="00B058D4"/>
    <w:rsid w:val="00B05E10"/>
    <w:rsid w:val="00B05E5E"/>
    <w:rsid w:val="00B06557"/>
    <w:rsid w:val="00B06647"/>
    <w:rsid w:val="00B06793"/>
    <w:rsid w:val="00B06C05"/>
    <w:rsid w:val="00B06EC3"/>
    <w:rsid w:val="00B07076"/>
    <w:rsid w:val="00B07623"/>
    <w:rsid w:val="00B07AFE"/>
    <w:rsid w:val="00B07B2F"/>
    <w:rsid w:val="00B07C7C"/>
    <w:rsid w:val="00B10000"/>
    <w:rsid w:val="00B10CF2"/>
    <w:rsid w:val="00B11227"/>
    <w:rsid w:val="00B113AB"/>
    <w:rsid w:val="00B117B6"/>
    <w:rsid w:val="00B117C2"/>
    <w:rsid w:val="00B11C09"/>
    <w:rsid w:val="00B12053"/>
    <w:rsid w:val="00B123D2"/>
    <w:rsid w:val="00B12ECF"/>
    <w:rsid w:val="00B13496"/>
    <w:rsid w:val="00B13B76"/>
    <w:rsid w:val="00B13BBA"/>
    <w:rsid w:val="00B14020"/>
    <w:rsid w:val="00B14446"/>
    <w:rsid w:val="00B14C64"/>
    <w:rsid w:val="00B15AAA"/>
    <w:rsid w:val="00B15ACC"/>
    <w:rsid w:val="00B15B80"/>
    <w:rsid w:val="00B15C2D"/>
    <w:rsid w:val="00B16098"/>
    <w:rsid w:val="00B1664C"/>
    <w:rsid w:val="00B16783"/>
    <w:rsid w:val="00B16C60"/>
    <w:rsid w:val="00B16D73"/>
    <w:rsid w:val="00B17B95"/>
    <w:rsid w:val="00B17BFB"/>
    <w:rsid w:val="00B201D3"/>
    <w:rsid w:val="00B20780"/>
    <w:rsid w:val="00B20A56"/>
    <w:rsid w:val="00B20B7E"/>
    <w:rsid w:val="00B20BF4"/>
    <w:rsid w:val="00B21074"/>
    <w:rsid w:val="00B2151A"/>
    <w:rsid w:val="00B21B18"/>
    <w:rsid w:val="00B21E68"/>
    <w:rsid w:val="00B22060"/>
    <w:rsid w:val="00B22316"/>
    <w:rsid w:val="00B2236F"/>
    <w:rsid w:val="00B22809"/>
    <w:rsid w:val="00B228CF"/>
    <w:rsid w:val="00B22C3A"/>
    <w:rsid w:val="00B23167"/>
    <w:rsid w:val="00B233F6"/>
    <w:rsid w:val="00B234B9"/>
    <w:rsid w:val="00B235A1"/>
    <w:rsid w:val="00B23D0F"/>
    <w:rsid w:val="00B24438"/>
    <w:rsid w:val="00B2462E"/>
    <w:rsid w:val="00B249AA"/>
    <w:rsid w:val="00B24D08"/>
    <w:rsid w:val="00B25979"/>
    <w:rsid w:val="00B25D93"/>
    <w:rsid w:val="00B25FFE"/>
    <w:rsid w:val="00B262E6"/>
    <w:rsid w:val="00B2695D"/>
    <w:rsid w:val="00B26FFB"/>
    <w:rsid w:val="00B27194"/>
    <w:rsid w:val="00B272CD"/>
    <w:rsid w:val="00B27412"/>
    <w:rsid w:val="00B274B6"/>
    <w:rsid w:val="00B27806"/>
    <w:rsid w:val="00B27A1B"/>
    <w:rsid w:val="00B27A34"/>
    <w:rsid w:val="00B27C4B"/>
    <w:rsid w:val="00B30023"/>
    <w:rsid w:val="00B30CE8"/>
    <w:rsid w:val="00B30F3B"/>
    <w:rsid w:val="00B3134C"/>
    <w:rsid w:val="00B314AB"/>
    <w:rsid w:val="00B31BF4"/>
    <w:rsid w:val="00B31EC4"/>
    <w:rsid w:val="00B321D2"/>
    <w:rsid w:val="00B32232"/>
    <w:rsid w:val="00B32628"/>
    <w:rsid w:val="00B326BA"/>
    <w:rsid w:val="00B32F63"/>
    <w:rsid w:val="00B332F8"/>
    <w:rsid w:val="00B33684"/>
    <w:rsid w:val="00B34111"/>
    <w:rsid w:val="00B3425E"/>
    <w:rsid w:val="00B35C91"/>
    <w:rsid w:val="00B360DC"/>
    <w:rsid w:val="00B36561"/>
    <w:rsid w:val="00B366F6"/>
    <w:rsid w:val="00B3671D"/>
    <w:rsid w:val="00B36CD4"/>
    <w:rsid w:val="00B372FE"/>
    <w:rsid w:val="00B37726"/>
    <w:rsid w:val="00B37870"/>
    <w:rsid w:val="00B37F8C"/>
    <w:rsid w:val="00B402B8"/>
    <w:rsid w:val="00B403E8"/>
    <w:rsid w:val="00B40403"/>
    <w:rsid w:val="00B40647"/>
    <w:rsid w:val="00B40AA6"/>
    <w:rsid w:val="00B40C70"/>
    <w:rsid w:val="00B40F77"/>
    <w:rsid w:val="00B416E7"/>
    <w:rsid w:val="00B41839"/>
    <w:rsid w:val="00B41CFD"/>
    <w:rsid w:val="00B41D6A"/>
    <w:rsid w:val="00B41EE6"/>
    <w:rsid w:val="00B42487"/>
    <w:rsid w:val="00B42730"/>
    <w:rsid w:val="00B427EB"/>
    <w:rsid w:val="00B42D4A"/>
    <w:rsid w:val="00B42EFB"/>
    <w:rsid w:val="00B43073"/>
    <w:rsid w:val="00B43445"/>
    <w:rsid w:val="00B43721"/>
    <w:rsid w:val="00B44BEA"/>
    <w:rsid w:val="00B44C45"/>
    <w:rsid w:val="00B453DB"/>
    <w:rsid w:val="00B4592B"/>
    <w:rsid w:val="00B45C03"/>
    <w:rsid w:val="00B45D27"/>
    <w:rsid w:val="00B464BC"/>
    <w:rsid w:val="00B46679"/>
    <w:rsid w:val="00B46C9C"/>
    <w:rsid w:val="00B46D33"/>
    <w:rsid w:val="00B46DAD"/>
    <w:rsid w:val="00B47085"/>
    <w:rsid w:val="00B47596"/>
    <w:rsid w:val="00B500A9"/>
    <w:rsid w:val="00B50469"/>
    <w:rsid w:val="00B504C5"/>
    <w:rsid w:val="00B50502"/>
    <w:rsid w:val="00B50A05"/>
    <w:rsid w:val="00B51120"/>
    <w:rsid w:val="00B5143F"/>
    <w:rsid w:val="00B519BE"/>
    <w:rsid w:val="00B52058"/>
    <w:rsid w:val="00B53454"/>
    <w:rsid w:val="00B5357C"/>
    <w:rsid w:val="00B536CF"/>
    <w:rsid w:val="00B5372B"/>
    <w:rsid w:val="00B538B9"/>
    <w:rsid w:val="00B53D17"/>
    <w:rsid w:val="00B542DA"/>
    <w:rsid w:val="00B54532"/>
    <w:rsid w:val="00B54D0B"/>
    <w:rsid w:val="00B54FE0"/>
    <w:rsid w:val="00B554CB"/>
    <w:rsid w:val="00B5552B"/>
    <w:rsid w:val="00B557E7"/>
    <w:rsid w:val="00B55EE0"/>
    <w:rsid w:val="00B55EED"/>
    <w:rsid w:val="00B560C3"/>
    <w:rsid w:val="00B5620F"/>
    <w:rsid w:val="00B56366"/>
    <w:rsid w:val="00B5640C"/>
    <w:rsid w:val="00B5671E"/>
    <w:rsid w:val="00B56FBD"/>
    <w:rsid w:val="00B57718"/>
    <w:rsid w:val="00B57895"/>
    <w:rsid w:val="00B600BC"/>
    <w:rsid w:val="00B601E7"/>
    <w:rsid w:val="00B60435"/>
    <w:rsid w:val="00B608A1"/>
    <w:rsid w:val="00B615A3"/>
    <w:rsid w:val="00B61656"/>
    <w:rsid w:val="00B617F9"/>
    <w:rsid w:val="00B61AB8"/>
    <w:rsid w:val="00B61B27"/>
    <w:rsid w:val="00B61C0F"/>
    <w:rsid w:val="00B61D41"/>
    <w:rsid w:val="00B61DA8"/>
    <w:rsid w:val="00B6331A"/>
    <w:rsid w:val="00B63932"/>
    <w:rsid w:val="00B63BFE"/>
    <w:rsid w:val="00B64431"/>
    <w:rsid w:val="00B64688"/>
    <w:rsid w:val="00B647E3"/>
    <w:rsid w:val="00B648A1"/>
    <w:rsid w:val="00B64C2B"/>
    <w:rsid w:val="00B65486"/>
    <w:rsid w:val="00B65D3D"/>
    <w:rsid w:val="00B65F3C"/>
    <w:rsid w:val="00B65F45"/>
    <w:rsid w:val="00B663BE"/>
    <w:rsid w:val="00B66B31"/>
    <w:rsid w:val="00B66FD3"/>
    <w:rsid w:val="00B6727F"/>
    <w:rsid w:val="00B6751A"/>
    <w:rsid w:val="00B6778C"/>
    <w:rsid w:val="00B67C55"/>
    <w:rsid w:val="00B70151"/>
    <w:rsid w:val="00B701A4"/>
    <w:rsid w:val="00B701E7"/>
    <w:rsid w:val="00B70791"/>
    <w:rsid w:val="00B71885"/>
    <w:rsid w:val="00B722BB"/>
    <w:rsid w:val="00B7241C"/>
    <w:rsid w:val="00B72752"/>
    <w:rsid w:val="00B72B20"/>
    <w:rsid w:val="00B72C3D"/>
    <w:rsid w:val="00B7317E"/>
    <w:rsid w:val="00B732D7"/>
    <w:rsid w:val="00B733F9"/>
    <w:rsid w:val="00B73589"/>
    <w:rsid w:val="00B737BE"/>
    <w:rsid w:val="00B73C09"/>
    <w:rsid w:val="00B73CB5"/>
    <w:rsid w:val="00B745D3"/>
    <w:rsid w:val="00B746BA"/>
    <w:rsid w:val="00B749C0"/>
    <w:rsid w:val="00B74A06"/>
    <w:rsid w:val="00B74DDF"/>
    <w:rsid w:val="00B75314"/>
    <w:rsid w:val="00B7554D"/>
    <w:rsid w:val="00B75C3A"/>
    <w:rsid w:val="00B75CBA"/>
    <w:rsid w:val="00B7685D"/>
    <w:rsid w:val="00B76C88"/>
    <w:rsid w:val="00B76EEA"/>
    <w:rsid w:val="00B77123"/>
    <w:rsid w:val="00B77757"/>
    <w:rsid w:val="00B77951"/>
    <w:rsid w:val="00B77F8D"/>
    <w:rsid w:val="00B8020F"/>
    <w:rsid w:val="00B80514"/>
    <w:rsid w:val="00B808C7"/>
    <w:rsid w:val="00B808F7"/>
    <w:rsid w:val="00B8168C"/>
    <w:rsid w:val="00B81E6B"/>
    <w:rsid w:val="00B82063"/>
    <w:rsid w:val="00B82D14"/>
    <w:rsid w:val="00B82D2C"/>
    <w:rsid w:val="00B8300F"/>
    <w:rsid w:val="00B8302E"/>
    <w:rsid w:val="00B83630"/>
    <w:rsid w:val="00B83864"/>
    <w:rsid w:val="00B83969"/>
    <w:rsid w:val="00B83DFC"/>
    <w:rsid w:val="00B84102"/>
    <w:rsid w:val="00B844BF"/>
    <w:rsid w:val="00B84883"/>
    <w:rsid w:val="00B84E4A"/>
    <w:rsid w:val="00B8509D"/>
    <w:rsid w:val="00B8571C"/>
    <w:rsid w:val="00B85B4E"/>
    <w:rsid w:val="00B85CA9"/>
    <w:rsid w:val="00B85F6C"/>
    <w:rsid w:val="00B862EA"/>
    <w:rsid w:val="00B8640C"/>
    <w:rsid w:val="00B86657"/>
    <w:rsid w:val="00B86AD3"/>
    <w:rsid w:val="00B86B6A"/>
    <w:rsid w:val="00B86BB9"/>
    <w:rsid w:val="00B86E86"/>
    <w:rsid w:val="00B87BE4"/>
    <w:rsid w:val="00B87E98"/>
    <w:rsid w:val="00B903C4"/>
    <w:rsid w:val="00B90891"/>
    <w:rsid w:val="00B90DCC"/>
    <w:rsid w:val="00B9134B"/>
    <w:rsid w:val="00B9162D"/>
    <w:rsid w:val="00B918AB"/>
    <w:rsid w:val="00B91973"/>
    <w:rsid w:val="00B919DE"/>
    <w:rsid w:val="00B92704"/>
    <w:rsid w:val="00B92867"/>
    <w:rsid w:val="00B92F65"/>
    <w:rsid w:val="00B92FD9"/>
    <w:rsid w:val="00B931CF"/>
    <w:rsid w:val="00B933EF"/>
    <w:rsid w:val="00B93471"/>
    <w:rsid w:val="00B934D6"/>
    <w:rsid w:val="00B93F6B"/>
    <w:rsid w:val="00B94B7E"/>
    <w:rsid w:val="00B951E0"/>
    <w:rsid w:val="00B95731"/>
    <w:rsid w:val="00B95958"/>
    <w:rsid w:val="00B95A99"/>
    <w:rsid w:val="00B95BF8"/>
    <w:rsid w:val="00B95FBD"/>
    <w:rsid w:val="00B96C7E"/>
    <w:rsid w:val="00B96EF2"/>
    <w:rsid w:val="00B971F3"/>
    <w:rsid w:val="00B9753D"/>
    <w:rsid w:val="00B9784D"/>
    <w:rsid w:val="00B97B68"/>
    <w:rsid w:val="00BA0781"/>
    <w:rsid w:val="00BA0CCB"/>
    <w:rsid w:val="00BA1074"/>
    <w:rsid w:val="00BA12E8"/>
    <w:rsid w:val="00BA188A"/>
    <w:rsid w:val="00BA1C0E"/>
    <w:rsid w:val="00BA2726"/>
    <w:rsid w:val="00BA27A7"/>
    <w:rsid w:val="00BA2898"/>
    <w:rsid w:val="00BA29EB"/>
    <w:rsid w:val="00BA2A2F"/>
    <w:rsid w:val="00BA2C3C"/>
    <w:rsid w:val="00BA2DC8"/>
    <w:rsid w:val="00BA2F07"/>
    <w:rsid w:val="00BA339E"/>
    <w:rsid w:val="00BA3745"/>
    <w:rsid w:val="00BA3ADF"/>
    <w:rsid w:val="00BA4995"/>
    <w:rsid w:val="00BA4BB9"/>
    <w:rsid w:val="00BA4D65"/>
    <w:rsid w:val="00BA4EAD"/>
    <w:rsid w:val="00BA4FB6"/>
    <w:rsid w:val="00BA576E"/>
    <w:rsid w:val="00BA5DA2"/>
    <w:rsid w:val="00BA5E73"/>
    <w:rsid w:val="00BA64E0"/>
    <w:rsid w:val="00BA6586"/>
    <w:rsid w:val="00BA6606"/>
    <w:rsid w:val="00BA66DD"/>
    <w:rsid w:val="00BA6FFC"/>
    <w:rsid w:val="00BA711A"/>
    <w:rsid w:val="00BA736C"/>
    <w:rsid w:val="00BA73C3"/>
    <w:rsid w:val="00BA79A5"/>
    <w:rsid w:val="00BA7E0F"/>
    <w:rsid w:val="00BB00F1"/>
    <w:rsid w:val="00BB0198"/>
    <w:rsid w:val="00BB02FA"/>
    <w:rsid w:val="00BB1139"/>
    <w:rsid w:val="00BB1440"/>
    <w:rsid w:val="00BB1813"/>
    <w:rsid w:val="00BB1DD9"/>
    <w:rsid w:val="00BB228D"/>
    <w:rsid w:val="00BB35D1"/>
    <w:rsid w:val="00BB3ECA"/>
    <w:rsid w:val="00BB4087"/>
    <w:rsid w:val="00BB417E"/>
    <w:rsid w:val="00BB48CC"/>
    <w:rsid w:val="00BB4B2D"/>
    <w:rsid w:val="00BB50B9"/>
    <w:rsid w:val="00BB5247"/>
    <w:rsid w:val="00BB54BF"/>
    <w:rsid w:val="00BB5A67"/>
    <w:rsid w:val="00BB5BE2"/>
    <w:rsid w:val="00BB5E52"/>
    <w:rsid w:val="00BB611E"/>
    <w:rsid w:val="00BB6F1C"/>
    <w:rsid w:val="00BB70B7"/>
    <w:rsid w:val="00BC007E"/>
    <w:rsid w:val="00BC02D8"/>
    <w:rsid w:val="00BC0331"/>
    <w:rsid w:val="00BC0A26"/>
    <w:rsid w:val="00BC0CEC"/>
    <w:rsid w:val="00BC13A5"/>
    <w:rsid w:val="00BC14B0"/>
    <w:rsid w:val="00BC1BFF"/>
    <w:rsid w:val="00BC1FEC"/>
    <w:rsid w:val="00BC2267"/>
    <w:rsid w:val="00BC2540"/>
    <w:rsid w:val="00BC254A"/>
    <w:rsid w:val="00BC2731"/>
    <w:rsid w:val="00BC27E5"/>
    <w:rsid w:val="00BC332D"/>
    <w:rsid w:val="00BC3599"/>
    <w:rsid w:val="00BC383F"/>
    <w:rsid w:val="00BC3E2E"/>
    <w:rsid w:val="00BC4473"/>
    <w:rsid w:val="00BC470C"/>
    <w:rsid w:val="00BC481C"/>
    <w:rsid w:val="00BC48EE"/>
    <w:rsid w:val="00BC497C"/>
    <w:rsid w:val="00BC51A0"/>
    <w:rsid w:val="00BC55DB"/>
    <w:rsid w:val="00BC564F"/>
    <w:rsid w:val="00BC5742"/>
    <w:rsid w:val="00BC579D"/>
    <w:rsid w:val="00BC6146"/>
    <w:rsid w:val="00BC65A8"/>
    <w:rsid w:val="00BC69F3"/>
    <w:rsid w:val="00BC6F03"/>
    <w:rsid w:val="00BC7089"/>
    <w:rsid w:val="00BC76FB"/>
    <w:rsid w:val="00BC7A43"/>
    <w:rsid w:val="00BD0524"/>
    <w:rsid w:val="00BD0533"/>
    <w:rsid w:val="00BD0B07"/>
    <w:rsid w:val="00BD0BB9"/>
    <w:rsid w:val="00BD0D50"/>
    <w:rsid w:val="00BD10AE"/>
    <w:rsid w:val="00BD27C1"/>
    <w:rsid w:val="00BD32BC"/>
    <w:rsid w:val="00BD4CF1"/>
    <w:rsid w:val="00BD51CA"/>
    <w:rsid w:val="00BD5546"/>
    <w:rsid w:val="00BD5823"/>
    <w:rsid w:val="00BD60E6"/>
    <w:rsid w:val="00BD61AE"/>
    <w:rsid w:val="00BD674D"/>
    <w:rsid w:val="00BD6A42"/>
    <w:rsid w:val="00BD6AD4"/>
    <w:rsid w:val="00BD7438"/>
    <w:rsid w:val="00BD7802"/>
    <w:rsid w:val="00BD79D3"/>
    <w:rsid w:val="00BE01BE"/>
    <w:rsid w:val="00BE1048"/>
    <w:rsid w:val="00BE11E1"/>
    <w:rsid w:val="00BE1B4A"/>
    <w:rsid w:val="00BE1F95"/>
    <w:rsid w:val="00BE2541"/>
    <w:rsid w:val="00BE293E"/>
    <w:rsid w:val="00BE2A78"/>
    <w:rsid w:val="00BE2D33"/>
    <w:rsid w:val="00BE30DA"/>
    <w:rsid w:val="00BE36B1"/>
    <w:rsid w:val="00BE3A34"/>
    <w:rsid w:val="00BE4350"/>
    <w:rsid w:val="00BE4C49"/>
    <w:rsid w:val="00BE4FCB"/>
    <w:rsid w:val="00BE5177"/>
    <w:rsid w:val="00BE6950"/>
    <w:rsid w:val="00BE6DEB"/>
    <w:rsid w:val="00BE6E07"/>
    <w:rsid w:val="00BE76A1"/>
    <w:rsid w:val="00BE7CE3"/>
    <w:rsid w:val="00BE7F78"/>
    <w:rsid w:val="00BF08BB"/>
    <w:rsid w:val="00BF0CA7"/>
    <w:rsid w:val="00BF0F11"/>
    <w:rsid w:val="00BF12CE"/>
    <w:rsid w:val="00BF2463"/>
    <w:rsid w:val="00BF284B"/>
    <w:rsid w:val="00BF2BB1"/>
    <w:rsid w:val="00BF2D09"/>
    <w:rsid w:val="00BF35FE"/>
    <w:rsid w:val="00BF3E5E"/>
    <w:rsid w:val="00BF3E6D"/>
    <w:rsid w:val="00BF4447"/>
    <w:rsid w:val="00BF482E"/>
    <w:rsid w:val="00BF4941"/>
    <w:rsid w:val="00BF4F9C"/>
    <w:rsid w:val="00BF5A36"/>
    <w:rsid w:val="00BF5DE4"/>
    <w:rsid w:val="00BF5E11"/>
    <w:rsid w:val="00BF78F9"/>
    <w:rsid w:val="00BF7D4D"/>
    <w:rsid w:val="00BF7F2E"/>
    <w:rsid w:val="00C00236"/>
    <w:rsid w:val="00C0091F"/>
    <w:rsid w:val="00C00E70"/>
    <w:rsid w:val="00C010FB"/>
    <w:rsid w:val="00C01268"/>
    <w:rsid w:val="00C01967"/>
    <w:rsid w:val="00C01AFA"/>
    <w:rsid w:val="00C01CBB"/>
    <w:rsid w:val="00C02001"/>
    <w:rsid w:val="00C027C6"/>
    <w:rsid w:val="00C029B0"/>
    <w:rsid w:val="00C02C1C"/>
    <w:rsid w:val="00C0428E"/>
    <w:rsid w:val="00C043AA"/>
    <w:rsid w:val="00C04BF5"/>
    <w:rsid w:val="00C04C95"/>
    <w:rsid w:val="00C050BE"/>
    <w:rsid w:val="00C05350"/>
    <w:rsid w:val="00C0560E"/>
    <w:rsid w:val="00C05B6E"/>
    <w:rsid w:val="00C05D1A"/>
    <w:rsid w:val="00C06000"/>
    <w:rsid w:val="00C06926"/>
    <w:rsid w:val="00C06F1B"/>
    <w:rsid w:val="00C07174"/>
    <w:rsid w:val="00C07418"/>
    <w:rsid w:val="00C100E8"/>
    <w:rsid w:val="00C107FF"/>
    <w:rsid w:val="00C10C96"/>
    <w:rsid w:val="00C10CEC"/>
    <w:rsid w:val="00C1107A"/>
    <w:rsid w:val="00C1175E"/>
    <w:rsid w:val="00C123E2"/>
    <w:rsid w:val="00C12538"/>
    <w:rsid w:val="00C134D0"/>
    <w:rsid w:val="00C1375C"/>
    <w:rsid w:val="00C139BA"/>
    <w:rsid w:val="00C14984"/>
    <w:rsid w:val="00C14DF3"/>
    <w:rsid w:val="00C15305"/>
    <w:rsid w:val="00C154BD"/>
    <w:rsid w:val="00C15562"/>
    <w:rsid w:val="00C15ECF"/>
    <w:rsid w:val="00C15F16"/>
    <w:rsid w:val="00C160F5"/>
    <w:rsid w:val="00C16228"/>
    <w:rsid w:val="00C1630D"/>
    <w:rsid w:val="00C167A9"/>
    <w:rsid w:val="00C16E6E"/>
    <w:rsid w:val="00C17488"/>
    <w:rsid w:val="00C17674"/>
    <w:rsid w:val="00C17C18"/>
    <w:rsid w:val="00C17D34"/>
    <w:rsid w:val="00C17DBA"/>
    <w:rsid w:val="00C2010D"/>
    <w:rsid w:val="00C20886"/>
    <w:rsid w:val="00C2093B"/>
    <w:rsid w:val="00C20A0D"/>
    <w:rsid w:val="00C20B70"/>
    <w:rsid w:val="00C20C32"/>
    <w:rsid w:val="00C20D79"/>
    <w:rsid w:val="00C21172"/>
    <w:rsid w:val="00C2182E"/>
    <w:rsid w:val="00C21894"/>
    <w:rsid w:val="00C21B39"/>
    <w:rsid w:val="00C21C13"/>
    <w:rsid w:val="00C222EF"/>
    <w:rsid w:val="00C22D60"/>
    <w:rsid w:val="00C232BA"/>
    <w:rsid w:val="00C232F3"/>
    <w:rsid w:val="00C2396F"/>
    <w:rsid w:val="00C23F07"/>
    <w:rsid w:val="00C24416"/>
    <w:rsid w:val="00C245D1"/>
    <w:rsid w:val="00C24822"/>
    <w:rsid w:val="00C24C4E"/>
    <w:rsid w:val="00C25476"/>
    <w:rsid w:val="00C259EF"/>
    <w:rsid w:val="00C25AB9"/>
    <w:rsid w:val="00C25E26"/>
    <w:rsid w:val="00C26025"/>
    <w:rsid w:val="00C26090"/>
    <w:rsid w:val="00C26FD6"/>
    <w:rsid w:val="00C27058"/>
    <w:rsid w:val="00C27786"/>
    <w:rsid w:val="00C27B39"/>
    <w:rsid w:val="00C27D64"/>
    <w:rsid w:val="00C302C7"/>
    <w:rsid w:val="00C304E0"/>
    <w:rsid w:val="00C3091A"/>
    <w:rsid w:val="00C31C0E"/>
    <w:rsid w:val="00C3213C"/>
    <w:rsid w:val="00C32971"/>
    <w:rsid w:val="00C32DCF"/>
    <w:rsid w:val="00C33758"/>
    <w:rsid w:val="00C3399A"/>
    <w:rsid w:val="00C33B21"/>
    <w:rsid w:val="00C33B63"/>
    <w:rsid w:val="00C33CD7"/>
    <w:rsid w:val="00C33FFD"/>
    <w:rsid w:val="00C3420E"/>
    <w:rsid w:val="00C343F4"/>
    <w:rsid w:val="00C344AE"/>
    <w:rsid w:val="00C34CFA"/>
    <w:rsid w:val="00C351DC"/>
    <w:rsid w:val="00C35CDC"/>
    <w:rsid w:val="00C35FDE"/>
    <w:rsid w:val="00C3636B"/>
    <w:rsid w:val="00C36E72"/>
    <w:rsid w:val="00C37319"/>
    <w:rsid w:val="00C37ADD"/>
    <w:rsid w:val="00C37C4A"/>
    <w:rsid w:val="00C37C65"/>
    <w:rsid w:val="00C37F07"/>
    <w:rsid w:val="00C37FC5"/>
    <w:rsid w:val="00C401B5"/>
    <w:rsid w:val="00C414DC"/>
    <w:rsid w:val="00C41613"/>
    <w:rsid w:val="00C418FA"/>
    <w:rsid w:val="00C42019"/>
    <w:rsid w:val="00C4218F"/>
    <w:rsid w:val="00C429E8"/>
    <w:rsid w:val="00C42E1A"/>
    <w:rsid w:val="00C43154"/>
    <w:rsid w:val="00C43166"/>
    <w:rsid w:val="00C437FE"/>
    <w:rsid w:val="00C43C46"/>
    <w:rsid w:val="00C43C6F"/>
    <w:rsid w:val="00C43D91"/>
    <w:rsid w:val="00C44624"/>
    <w:rsid w:val="00C44836"/>
    <w:rsid w:val="00C449D6"/>
    <w:rsid w:val="00C44A29"/>
    <w:rsid w:val="00C44AA5"/>
    <w:rsid w:val="00C44B48"/>
    <w:rsid w:val="00C453A4"/>
    <w:rsid w:val="00C4554E"/>
    <w:rsid w:val="00C46400"/>
    <w:rsid w:val="00C46552"/>
    <w:rsid w:val="00C467EE"/>
    <w:rsid w:val="00C467F9"/>
    <w:rsid w:val="00C46CA4"/>
    <w:rsid w:val="00C46E83"/>
    <w:rsid w:val="00C46FB4"/>
    <w:rsid w:val="00C47745"/>
    <w:rsid w:val="00C478F0"/>
    <w:rsid w:val="00C47B5D"/>
    <w:rsid w:val="00C47DDF"/>
    <w:rsid w:val="00C502FC"/>
    <w:rsid w:val="00C504D0"/>
    <w:rsid w:val="00C50BF5"/>
    <w:rsid w:val="00C50C97"/>
    <w:rsid w:val="00C50DFA"/>
    <w:rsid w:val="00C50E40"/>
    <w:rsid w:val="00C511B1"/>
    <w:rsid w:val="00C51D01"/>
    <w:rsid w:val="00C51FD9"/>
    <w:rsid w:val="00C52526"/>
    <w:rsid w:val="00C5290A"/>
    <w:rsid w:val="00C52C24"/>
    <w:rsid w:val="00C52C80"/>
    <w:rsid w:val="00C52E0D"/>
    <w:rsid w:val="00C533EA"/>
    <w:rsid w:val="00C53629"/>
    <w:rsid w:val="00C53BFD"/>
    <w:rsid w:val="00C53C45"/>
    <w:rsid w:val="00C53E81"/>
    <w:rsid w:val="00C540EB"/>
    <w:rsid w:val="00C54468"/>
    <w:rsid w:val="00C544A1"/>
    <w:rsid w:val="00C5495D"/>
    <w:rsid w:val="00C54AEB"/>
    <w:rsid w:val="00C5575A"/>
    <w:rsid w:val="00C55DA0"/>
    <w:rsid w:val="00C55E05"/>
    <w:rsid w:val="00C56170"/>
    <w:rsid w:val="00C561E8"/>
    <w:rsid w:val="00C5620A"/>
    <w:rsid w:val="00C56767"/>
    <w:rsid w:val="00C56AA0"/>
    <w:rsid w:val="00C57066"/>
    <w:rsid w:val="00C572F0"/>
    <w:rsid w:val="00C57607"/>
    <w:rsid w:val="00C57B85"/>
    <w:rsid w:val="00C57F65"/>
    <w:rsid w:val="00C57F84"/>
    <w:rsid w:val="00C6013F"/>
    <w:rsid w:val="00C60275"/>
    <w:rsid w:val="00C6034E"/>
    <w:rsid w:val="00C603A4"/>
    <w:rsid w:val="00C60571"/>
    <w:rsid w:val="00C60942"/>
    <w:rsid w:val="00C60ABF"/>
    <w:rsid w:val="00C60B59"/>
    <w:rsid w:val="00C60E80"/>
    <w:rsid w:val="00C61372"/>
    <w:rsid w:val="00C62537"/>
    <w:rsid w:val="00C628DF"/>
    <w:rsid w:val="00C63DA2"/>
    <w:rsid w:val="00C64021"/>
    <w:rsid w:val="00C6482F"/>
    <w:rsid w:val="00C64E1C"/>
    <w:rsid w:val="00C650CE"/>
    <w:rsid w:val="00C65844"/>
    <w:rsid w:val="00C664EA"/>
    <w:rsid w:val="00C66A9A"/>
    <w:rsid w:val="00C66AB4"/>
    <w:rsid w:val="00C66D1E"/>
    <w:rsid w:val="00C66FCD"/>
    <w:rsid w:val="00C66FE9"/>
    <w:rsid w:val="00C670EF"/>
    <w:rsid w:val="00C6740F"/>
    <w:rsid w:val="00C67674"/>
    <w:rsid w:val="00C67D9E"/>
    <w:rsid w:val="00C67E59"/>
    <w:rsid w:val="00C67EEB"/>
    <w:rsid w:val="00C67F25"/>
    <w:rsid w:val="00C70521"/>
    <w:rsid w:val="00C705CB"/>
    <w:rsid w:val="00C708A3"/>
    <w:rsid w:val="00C70C55"/>
    <w:rsid w:val="00C70D27"/>
    <w:rsid w:val="00C70E31"/>
    <w:rsid w:val="00C713A0"/>
    <w:rsid w:val="00C71D02"/>
    <w:rsid w:val="00C722BD"/>
    <w:rsid w:val="00C72393"/>
    <w:rsid w:val="00C72CC4"/>
    <w:rsid w:val="00C72DC2"/>
    <w:rsid w:val="00C730BE"/>
    <w:rsid w:val="00C73195"/>
    <w:rsid w:val="00C732D0"/>
    <w:rsid w:val="00C73304"/>
    <w:rsid w:val="00C733B9"/>
    <w:rsid w:val="00C73931"/>
    <w:rsid w:val="00C73DB7"/>
    <w:rsid w:val="00C742F7"/>
    <w:rsid w:val="00C744DD"/>
    <w:rsid w:val="00C74A54"/>
    <w:rsid w:val="00C74ABC"/>
    <w:rsid w:val="00C74AE1"/>
    <w:rsid w:val="00C7511D"/>
    <w:rsid w:val="00C75258"/>
    <w:rsid w:val="00C7530C"/>
    <w:rsid w:val="00C755C0"/>
    <w:rsid w:val="00C7565E"/>
    <w:rsid w:val="00C762FA"/>
    <w:rsid w:val="00C76509"/>
    <w:rsid w:val="00C76C9F"/>
    <w:rsid w:val="00C77047"/>
    <w:rsid w:val="00C7730A"/>
    <w:rsid w:val="00C7739A"/>
    <w:rsid w:val="00C77AB6"/>
    <w:rsid w:val="00C77FB2"/>
    <w:rsid w:val="00C801AC"/>
    <w:rsid w:val="00C80987"/>
    <w:rsid w:val="00C80E00"/>
    <w:rsid w:val="00C81782"/>
    <w:rsid w:val="00C81B9A"/>
    <w:rsid w:val="00C81EA6"/>
    <w:rsid w:val="00C82D28"/>
    <w:rsid w:val="00C83973"/>
    <w:rsid w:val="00C841B0"/>
    <w:rsid w:val="00C843C2"/>
    <w:rsid w:val="00C8445E"/>
    <w:rsid w:val="00C84870"/>
    <w:rsid w:val="00C84B86"/>
    <w:rsid w:val="00C85582"/>
    <w:rsid w:val="00C8584C"/>
    <w:rsid w:val="00C85EEB"/>
    <w:rsid w:val="00C860A1"/>
    <w:rsid w:val="00C864A8"/>
    <w:rsid w:val="00C86898"/>
    <w:rsid w:val="00C868E9"/>
    <w:rsid w:val="00C86A10"/>
    <w:rsid w:val="00C87A39"/>
    <w:rsid w:val="00C902C1"/>
    <w:rsid w:val="00C9033E"/>
    <w:rsid w:val="00C907B1"/>
    <w:rsid w:val="00C90A1E"/>
    <w:rsid w:val="00C91074"/>
    <w:rsid w:val="00C91335"/>
    <w:rsid w:val="00C9146F"/>
    <w:rsid w:val="00C92314"/>
    <w:rsid w:val="00C927CE"/>
    <w:rsid w:val="00C9286E"/>
    <w:rsid w:val="00C92A17"/>
    <w:rsid w:val="00C92B5E"/>
    <w:rsid w:val="00C933A6"/>
    <w:rsid w:val="00C938D2"/>
    <w:rsid w:val="00C94185"/>
    <w:rsid w:val="00C9427C"/>
    <w:rsid w:val="00C94429"/>
    <w:rsid w:val="00C944C5"/>
    <w:rsid w:val="00C9453A"/>
    <w:rsid w:val="00C945AE"/>
    <w:rsid w:val="00C95168"/>
    <w:rsid w:val="00C95419"/>
    <w:rsid w:val="00C9562E"/>
    <w:rsid w:val="00C95763"/>
    <w:rsid w:val="00C95A38"/>
    <w:rsid w:val="00C95B2F"/>
    <w:rsid w:val="00C964D8"/>
    <w:rsid w:val="00C965AF"/>
    <w:rsid w:val="00C96C1E"/>
    <w:rsid w:val="00C96F23"/>
    <w:rsid w:val="00C97464"/>
    <w:rsid w:val="00C97535"/>
    <w:rsid w:val="00C97BE8"/>
    <w:rsid w:val="00CA00C5"/>
    <w:rsid w:val="00CA02C0"/>
    <w:rsid w:val="00CA04EB"/>
    <w:rsid w:val="00CA0A1B"/>
    <w:rsid w:val="00CA0A48"/>
    <w:rsid w:val="00CA162E"/>
    <w:rsid w:val="00CA1764"/>
    <w:rsid w:val="00CA185B"/>
    <w:rsid w:val="00CA1F79"/>
    <w:rsid w:val="00CA2034"/>
    <w:rsid w:val="00CA2379"/>
    <w:rsid w:val="00CA2C54"/>
    <w:rsid w:val="00CA3771"/>
    <w:rsid w:val="00CA38E8"/>
    <w:rsid w:val="00CA3B83"/>
    <w:rsid w:val="00CA3C28"/>
    <w:rsid w:val="00CA4475"/>
    <w:rsid w:val="00CA4633"/>
    <w:rsid w:val="00CA4927"/>
    <w:rsid w:val="00CA4DC3"/>
    <w:rsid w:val="00CA535A"/>
    <w:rsid w:val="00CA5BFC"/>
    <w:rsid w:val="00CA5DA4"/>
    <w:rsid w:val="00CA6A5A"/>
    <w:rsid w:val="00CA76DD"/>
    <w:rsid w:val="00CA7BC7"/>
    <w:rsid w:val="00CA7DCB"/>
    <w:rsid w:val="00CB0367"/>
    <w:rsid w:val="00CB0A75"/>
    <w:rsid w:val="00CB0CE7"/>
    <w:rsid w:val="00CB0D6D"/>
    <w:rsid w:val="00CB123D"/>
    <w:rsid w:val="00CB18D0"/>
    <w:rsid w:val="00CB1B86"/>
    <w:rsid w:val="00CB1F49"/>
    <w:rsid w:val="00CB2633"/>
    <w:rsid w:val="00CB2957"/>
    <w:rsid w:val="00CB2F3C"/>
    <w:rsid w:val="00CB2F76"/>
    <w:rsid w:val="00CB3252"/>
    <w:rsid w:val="00CB32F0"/>
    <w:rsid w:val="00CB33AB"/>
    <w:rsid w:val="00CB3937"/>
    <w:rsid w:val="00CB3DAA"/>
    <w:rsid w:val="00CB4053"/>
    <w:rsid w:val="00CB43E2"/>
    <w:rsid w:val="00CB4450"/>
    <w:rsid w:val="00CB4824"/>
    <w:rsid w:val="00CB4841"/>
    <w:rsid w:val="00CB48C1"/>
    <w:rsid w:val="00CB4ADA"/>
    <w:rsid w:val="00CB4F3D"/>
    <w:rsid w:val="00CB5101"/>
    <w:rsid w:val="00CB592A"/>
    <w:rsid w:val="00CB5AE5"/>
    <w:rsid w:val="00CB5EA0"/>
    <w:rsid w:val="00CB6217"/>
    <w:rsid w:val="00CB62BA"/>
    <w:rsid w:val="00CB6A63"/>
    <w:rsid w:val="00CB6D20"/>
    <w:rsid w:val="00CB6DB6"/>
    <w:rsid w:val="00CB7D84"/>
    <w:rsid w:val="00CC02E2"/>
    <w:rsid w:val="00CC03B9"/>
    <w:rsid w:val="00CC0566"/>
    <w:rsid w:val="00CC07E4"/>
    <w:rsid w:val="00CC130F"/>
    <w:rsid w:val="00CC1522"/>
    <w:rsid w:val="00CC2247"/>
    <w:rsid w:val="00CC264F"/>
    <w:rsid w:val="00CC2852"/>
    <w:rsid w:val="00CC2F6D"/>
    <w:rsid w:val="00CC3533"/>
    <w:rsid w:val="00CC399B"/>
    <w:rsid w:val="00CC3D2B"/>
    <w:rsid w:val="00CC427C"/>
    <w:rsid w:val="00CC4431"/>
    <w:rsid w:val="00CC496A"/>
    <w:rsid w:val="00CC50AF"/>
    <w:rsid w:val="00CC521C"/>
    <w:rsid w:val="00CC5861"/>
    <w:rsid w:val="00CC5CF5"/>
    <w:rsid w:val="00CC5E65"/>
    <w:rsid w:val="00CC6C55"/>
    <w:rsid w:val="00CC6F81"/>
    <w:rsid w:val="00CC7192"/>
    <w:rsid w:val="00CC76F4"/>
    <w:rsid w:val="00CC794C"/>
    <w:rsid w:val="00CD056E"/>
    <w:rsid w:val="00CD0A8A"/>
    <w:rsid w:val="00CD0F16"/>
    <w:rsid w:val="00CD0F83"/>
    <w:rsid w:val="00CD100F"/>
    <w:rsid w:val="00CD10F2"/>
    <w:rsid w:val="00CD112D"/>
    <w:rsid w:val="00CD1F4D"/>
    <w:rsid w:val="00CD223B"/>
    <w:rsid w:val="00CD2602"/>
    <w:rsid w:val="00CD307C"/>
    <w:rsid w:val="00CD324A"/>
    <w:rsid w:val="00CD3476"/>
    <w:rsid w:val="00CD3671"/>
    <w:rsid w:val="00CD38C6"/>
    <w:rsid w:val="00CD4EBE"/>
    <w:rsid w:val="00CD5A5E"/>
    <w:rsid w:val="00CD5B0E"/>
    <w:rsid w:val="00CD5E80"/>
    <w:rsid w:val="00CD600F"/>
    <w:rsid w:val="00CD6993"/>
    <w:rsid w:val="00CD7630"/>
    <w:rsid w:val="00CD7E60"/>
    <w:rsid w:val="00CE0005"/>
    <w:rsid w:val="00CE0037"/>
    <w:rsid w:val="00CE0263"/>
    <w:rsid w:val="00CE106B"/>
    <w:rsid w:val="00CE125E"/>
    <w:rsid w:val="00CE1801"/>
    <w:rsid w:val="00CE18CE"/>
    <w:rsid w:val="00CE1C6D"/>
    <w:rsid w:val="00CE243F"/>
    <w:rsid w:val="00CE2549"/>
    <w:rsid w:val="00CE28D6"/>
    <w:rsid w:val="00CE2B43"/>
    <w:rsid w:val="00CE2D06"/>
    <w:rsid w:val="00CE2E1B"/>
    <w:rsid w:val="00CE2F62"/>
    <w:rsid w:val="00CE35F1"/>
    <w:rsid w:val="00CE3B6A"/>
    <w:rsid w:val="00CE41BA"/>
    <w:rsid w:val="00CE49F8"/>
    <w:rsid w:val="00CE4D8B"/>
    <w:rsid w:val="00CE5767"/>
    <w:rsid w:val="00CE5EAF"/>
    <w:rsid w:val="00CE62BB"/>
    <w:rsid w:val="00CE6485"/>
    <w:rsid w:val="00CE65C0"/>
    <w:rsid w:val="00CE7181"/>
    <w:rsid w:val="00CE7A7E"/>
    <w:rsid w:val="00CF008B"/>
    <w:rsid w:val="00CF0215"/>
    <w:rsid w:val="00CF100E"/>
    <w:rsid w:val="00CF10A2"/>
    <w:rsid w:val="00CF12B2"/>
    <w:rsid w:val="00CF1306"/>
    <w:rsid w:val="00CF13C6"/>
    <w:rsid w:val="00CF144D"/>
    <w:rsid w:val="00CF1456"/>
    <w:rsid w:val="00CF1758"/>
    <w:rsid w:val="00CF22E9"/>
    <w:rsid w:val="00CF230A"/>
    <w:rsid w:val="00CF23D3"/>
    <w:rsid w:val="00CF271E"/>
    <w:rsid w:val="00CF336B"/>
    <w:rsid w:val="00CF3FFA"/>
    <w:rsid w:val="00CF418F"/>
    <w:rsid w:val="00CF4600"/>
    <w:rsid w:val="00CF48BF"/>
    <w:rsid w:val="00CF4AF1"/>
    <w:rsid w:val="00CF4F7E"/>
    <w:rsid w:val="00CF5006"/>
    <w:rsid w:val="00CF5801"/>
    <w:rsid w:val="00CF5931"/>
    <w:rsid w:val="00CF5E9C"/>
    <w:rsid w:val="00CF653A"/>
    <w:rsid w:val="00CF657E"/>
    <w:rsid w:val="00CF6C1C"/>
    <w:rsid w:val="00CF719E"/>
    <w:rsid w:val="00CF75DF"/>
    <w:rsid w:val="00CF7EBB"/>
    <w:rsid w:val="00D00071"/>
    <w:rsid w:val="00D0024F"/>
    <w:rsid w:val="00D00392"/>
    <w:rsid w:val="00D005CF"/>
    <w:rsid w:val="00D005D6"/>
    <w:rsid w:val="00D0080F"/>
    <w:rsid w:val="00D016A1"/>
    <w:rsid w:val="00D01B4D"/>
    <w:rsid w:val="00D02F18"/>
    <w:rsid w:val="00D03652"/>
    <w:rsid w:val="00D0377B"/>
    <w:rsid w:val="00D04BC0"/>
    <w:rsid w:val="00D05877"/>
    <w:rsid w:val="00D05A37"/>
    <w:rsid w:val="00D05A65"/>
    <w:rsid w:val="00D05DF2"/>
    <w:rsid w:val="00D0634F"/>
    <w:rsid w:val="00D06534"/>
    <w:rsid w:val="00D0658A"/>
    <w:rsid w:val="00D069E5"/>
    <w:rsid w:val="00D06E5B"/>
    <w:rsid w:val="00D0715A"/>
    <w:rsid w:val="00D07AA4"/>
    <w:rsid w:val="00D103DB"/>
    <w:rsid w:val="00D109F4"/>
    <w:rsid w:val="00D10B74"/>
    <w:rsid w:val="00D10CC9"/>
    <w:rsid w:val="00D11FE8"/>
    <w:rsid w:val="00D12460"/>
    <w:rsid w:val="00D12607"/>
    <w:rsid w:val="00D12AD3"/>
    <w:rsid w:val="00D12F07"/>
    <w:rsid w:val="00D13169"/>
    <w:rsid w:val="00D134DF"/>
    <w:rsid w:val="00D13D97"/>
    <w:rsid w:val="00D14254"/>
    <w:rsid w:val="00D14259"/>
    <w:rsid w:val="00D14566"/>
    <w:rsid w:val="00D14C01"/>
    <w:rsid w:val="00D1579C"/>
    <w:rsid w:val="00D15843"/>
    <w:rsid w:val="00D15A3A"/>
    <w:rsid w:val="00D15B68"/>
    <w:rsid w:val="00D15ECE"/>
    <w:rsid w:val="00D15FBC"/>
    <w:rsid w:val="00D16C31"/>
    <w:rsid w:val="00D17374"/>
    <w:rsid w:val="00D178DD"/>
    <w:rsid w:val="00D17902"/>
    <w:rsid w:val="00D17B09"/>
    <w:rsid w:val="00D21343"/>
    <w:rsid w:val="00D21916"/>
    <w:rsid w:val="00D21DB1"/>
    <w:rsid w:val="00D221A7"/>
    <w:rsid w:val="00D221E2"/>
    <w:rsid w:val="00D222F1"/>
    <w:rsid w:val="00D223A3"/>
    <w:rsid w:val="00D22E33"/>
    <w:rsid w:val="00D22EE4"/>
    <w:rsid w:val="00D22F98"/>
    <w:rsid w:val="00D236DC"/>
    <w:rsid w:val="00D23F64"/>
    <w:rsid w:val="00D242FF"/>
    <w:rsid w:val="00D248D6"/>
    <w:rsid w:val="00D24C7D"/>
    <w:rsid w:val="00D24CE9"/>
    <w:rsid w:val="00D2512F"/>
    <w:rsid w:val="00D25233"/>
    <w:rsid w:val="00D25402"/>
    <w:rsid w:val="00D25413"/>
    <w:rsid w:val="00D26091"/>
    <w:rsid w:val="00D265CD"/>
    <w:rsid w:val="00D26888"/>
    <w:rsid w:val="00D2763A"/>
    <w:rsid w:val="00D27AFA"/>
    <w:rsid w:val="00D3051C"/>
    <w:rsid w:val="00D305B1"/>
    <w:rsid w:val="00D305E7"/>
    <w:rsid w:val="00D30635"/>
    <w:rsid w:val="00D308E7"/>
    <w:rsid w:val="00D30BE0"/>
    <w:rsid w:val="00D30D45"/>
    <w:rsid w:val="00D3122C"/>
    <w:rsid w:val="00D312CA"/>
    <w:rsid w:val="00D31455"/>
    <w:rsid w:val="00D317DF"/>
    <w:rsid w:val="00D31C0A"/>
    <w:rsid w:val="00D31D0E"/>
    <w:rsid w:val="00D3216E"/>
    <w:rsid w:val="00D324B4"/>
    <w:rsid w:val="00D32A52"/>
    <w:rsid w:val="00D3335D"/>
    <w:rsid w:val="00D333C2"/>
    <w:rsid w:val="00D33B06"/>
    <w:rsid w:val="00D33D0B"/>
    <w:rsid w:val="00D34237"/>
    <w:rsid w:val="00D34EB7"/>
    <w:rsid w:val="00D35780"/>
    <w:rsid w:val="00D3625C"/>
    <w:rsid w:val="00D36A74"/>
    <w:rsid w:val="00D36C84"/>
    <w:rsid w:val="00D36D58"/>
    <w:rsid w:val="00D37547"/>
    <w:rsid w:val="00D3773E"/>
    <w:rsid w:val="00D37A7F"/>
    <w:rsid w:val="00D37B47"/>
    <w:rsid w:val="00D40EF0"/>
    <w:rsid w:val="00D4114E"/>
    <w:rsid w:val="00D4160C"/>
    <w:rsid w:val="00D41A41"/>
    <w:rsid w:val="00D41AD2"/>
    <w:rsid w:val="00D42054"/>
    <w:rsid w:val="00D42599"/>
    <w:rsid w:val="00D427DF"/>
    <w:rsid w:val="00D438A3"/>
    <w:rsid w:val="00D4412C"/>
    <w:rsid w:val="00D443FC"/>
    <w:rsid w:val="00D448B2"/>
    <w:rsid w:val="00D44CD6"/>
    <w:rsid w:val="00D45767"/>
    <w:rsid w:val="00D45AC8"/>
    <w:rsid w:val="00D45C1C"/>
    <w:rsid w:val="00D4661D"/>
    <w:rsid w:val="00D466E2"/>
    <w:rsid w:val="00D46D42"/>
    <w:rsid w:val="00D46F23"/>
    <w:rsid w:val="00D46FA2"/>
    <w:rsid w:val="00D477EC"/>
    <w:rsid w:val="00D47DE8"/>
    <w:rsid w:val="00D47EA0"/>
    <w:rsid w:val="00D50AA0"/>
    <w:rsid w:val="00D50AF1"/>
    <w:rsid w:val="00D50C62"/>
    <w:rsid w:val="00D51211"/>
    <w:rsid w:val="00D513D9"/>
    <w:rsid w:val="00D519C5"/>
    <w:rsid w:val="00D52409"/>
    <w:rsid w:val="00D52715"/>
    <w:rsid w:val="00D53048"/>
    <w:rsid w:val="00D53338"/>
    <w:rsid w:val="00D533CC"/>
    <w:rsid w:val="00D534E0"/>
    <w:rsid w:val="00D54486"/>
    <w:rsid w:val="00D54BF1"/>
    <w:rsid w:val="00D54E62"/>
    <w:rsid w:val="00D555EF"/>
    <w:rsid w:val="00D55937"/>
    <w:rsid w:val="00D55A39"/>
    <w:rsid w:val="00D55EAF"/>
    <w:rsid w:val="00D563F3"/>
    <w:rsid w:val="00D5658C"/>
    <w:rsid w:val="00D566A8"/>
    <w:rsid w:val="00D568A8"/>
    <w:rsid w:val="00D56B32"/>
    <w:rsid w:val="00D5701C"/>
    <w:rsid w:val="00D5723B"/>
    <w:rsid w:val="00D57548"/>
    <w:rsid w:val="00D57563"/>
    <w:rsid w:val="00D575C3"/>
    <w:rsid w:val="00D57C01"/>
    <w:rsid w:val="00D6058B"/>
    <w:rsid w:val="00D60DE2"/>
    <w:rsid w:val="00D61014"/>
    <w:rsid w:val="00D614C2"/>
    <w:rsid w:val="00D61A83"/>
    <w:rsid w:val="00D61ADF"/>
    <w:rsid w:val="00D61B58"/>
    <w:rsid w:val="00D61BCD"/>
    <w:rsid w:val="00D61C86"/>
    <w:rsid w:val="00D6214C"/>
    <w:rsid w:val="00D62544"/>
    <w:rsid w:val="00D62ECF"/>
    <w:rsid w:val="00D63416"/>
    <w:rsid w:val="00D6392E"/>
    <w:rsid w:val="00D63A99"/>
    <w:rsid w:val="00D6410E"/>
    <w:rsid w:val="00D64F5F"/>
    <w:rsid w:val="00D652A5"/>
    <w:rsid w:val="00D65BA0"/>
    <w:rsid w:val="00D65D1F"/>
    <w:rsid w:val="00D65E09"/>
    <w:rsid w:val="00D65E18"/>
    <w:rsid w:val="00D66705"/>
    <w:rsid w:val="00D66992"/>
    <w:rsid w:val="00D66DB2"/>
    <w:rsid w:val="00D67492"/>
    <w:rsid w:val="00D7015C"/>
    <w:rsid w:val="00D705BD"/>
    <w:rsid w:val="00D705F2"/>
    <w:rsid w:val="00D70CE7"/>
    <w:rsid w:val="00D711A0"/>
    <w:rsid w:val="00D71918"/>
    <w:rsid w:val="00D71BB3"/>
    <w:rsid w:val="00D721F3"/>
    <w:rsid w:val="00D722C0"/>
    <w:rsid w:val="00D72CAB"/>
    <w:rsid w:val="00D72F6B"/>
    <w:rsid w:val="00D73219"/>
    <w:rsid w:val="00D7341B"/>
    <w:rsid w:val="00D737CB"/>
    <w:rsid w:val="00D73B76"/>
    <w:rsid w:val="00D73B81"/>
    <w:rsid w:val="00D74A57"/>
    <w:rsid w:val="00D74F2C"/>
    <w:rsid w:val="00D74F70"/>
    <w:rsid w:val="00D75DB2"/>
    <w:rsid w:val="00D75DF3"/>
    <w:rsid w:val="00D76364"/>
    <w:rsid w:val="00D763D3"/>
    <w:rsid w:val="00D77382"/>
    <w:rsid w:val="00D77555"/>
    <w:rsid w:val="00D7763F"/>
    <w:rsid w:val="00D776FC"/>
    <w:rsid w:val="00D77F11"/>
    <w:rsid w:val="00D80069"/>
    <w:rsid w:val="00D80E6C"/>
    <w:rsid w:val="00D810E2"/>
    <w:rsid w:val="00D81297"/>
    <w:rsid w:val="00D81F11"/>
    <w:rsid w:val="00D820ED"/>
    <w:rsid w:val="00D824DE"/>
    <w:rsid w:val="00D8260F"/>
    <w:rsid w:val="00D82A0B"/>
    <w:rsid w:val="00D82A91"/>
    <w:rsid w:val="00D8381A"/>
    <w:rsid w:val="00D83C1A"/>
    <w:rsid w:val="00D83D91"/>
    <w:rsid w:val="00D84129"/>
    <w:rsid w:val="00D84646"/>
    <w:rsid w:val="00D84748"/>
    <w:rsid w:val="00D84A27"/>
    <w:rsid w:val="00D84D71"/>
    <w:rsid w:val="00D85CF1"/>
    <w:rsid w:val="00D8603E"/>
    <w:rsid w:val="00D86971"/>
    <w:rsid w:val="00D86DC8"/>
    <w:rsid w:val="00D87182"/>
    <w:rsid w:val="00D872C1"/>
    <w:rsid w:val="00D87319"/>
    <w:rsid w:val="00D87C58"/>
    <w:rsid w:val="00D9011C"/>
    <w:rsid w:val="00D904F6"/>
    <w:rsid w:val="00D9092E"/>
    <w:rsid w:val="00D91515"/>
    <w:rsid w:val="00D91E27"/>
    <w:rsid w:val="00D92A38"/>
    <w:rsid w:val="00D92C9D"/>
    <w:rsid w:val="00D930E0"/>
    <w:rsid w:val="00D936B1"/>
    <w:rsid w:val="00D93740"/>
    <w:rsid w:val="00D93823"/>
    <w:rsid w:val="00D93AA3"/>
    <w:rsid w:val="00D9470C"/>
    <w:rsid w:val="00D947B2"/>
    <w:rsid w:val="00D948AD"/>
    <w:rsid w:val="00D94C27"/>
    <w:rsid w:val="00D94F59"/>
    <w:rsid w:val="00D95635"/>
    <w:rsid w:val="00D959B3"/>
    <w:rsid w:val="00D9640E"/>
    <w:rsid w:val="00D9738D"/>
    <w:rsid w:val="00D97498"/>
    <w:rsid w:val="00D9787D"/>
    <w:rsid w:val="00D97B0E"/>
    <w:rsid w:val="00D97EAD"/>
    <w:rsid w:val="00D97EE6"/>
    <w:rsid w:val="00D97FF3"/>
    <w:rsid w:val="00DA064B"/>
    <w:rsid w:val="00DA074E"/>
    <w:rsid w:val="00DA0E7F"/>
    <w:rsid w:val="00DA144A"/>
    <w:rsid w:val="00DA1CF6"/>
    <w:rsid w:val="00DA21BD"/>
    <w:rsid w:val="00DA2820"/>
    <w:rsid w:val="00DA290A"/>
    <w:rsid w:val="00DA2E3D"/>
    <w:rsid w:val="00DA30BF"/>
    <w:rsid w:val="00DA34BB"/>
    <w:rsid w:val="00DA37F3"/>
    <w:rsid w:val="00DA3A9F"/>
    <w:rsid w:val="00DA3CF2"/>
    <w:rsid w:val="00DA3DAC"/>
    <w:rsid w:val="00DA3EEE"/>
    <w:rsid w:val="00DA3EF4"/>
    <w:rsid w:val="00DA4641"/>
    <w:rsid w:val="00DA4D77"/>
    <w:rsid w:val="00DA5179"/>
    <w:rsid w:val="00DA5343"/>
    <w:rsid w:val="00DA551F"/>
    <w:rsid w:val="00DA5756"/>
    <w:rsid w:val="00DA5A8B"/>
    <w:rsid w:val="00DA6385"/>
    <w:rsid w:val="00DA6DE0"/>
    <w:rsid w:val="00DA781D"/>
    <w:rsid w:val="00DA7BE4"/>
    <w:rsid w:val="00DB0005"/>
    <w:rsid w:val="00DB0525"/>
    <w:rsid w:val="00DB07C0"/>
    <w:rsid w:val="00DB08ED"/>
    <w:rsid w:val="00DB09BC"/>
    <w:rsid w:val="00DB0A36"/>
    <w:rsid w:val="00DB15B1"/>
    <w:rsid w:val="00DB15C8"/>
    <w:rsid w:val="00DB15EC"/>
    <w:rsid w:val="00DB1A43"/>
    <w:rsid w:val="00DB1C7B"/>
    <w:rsid w:val="00DB20A2"/>
    <w:rsid w:val="00DB2586"/>
    <w:rsid w:val="00DB2911"/>
    <w:rsid w:val="00DB33B5"/>
    <w:rsid w:val="00DB3AFF"/>
    <w:rsid w:val="00DB3E5A"/>
    <w:rsid w:val="00DB4AE1"/>
    <w:rsid w:val="00DB4DF0"/>
    <w:rsid w:val="00DB4E88"/>
    <w:rsid w:val="00DB4ED1"/>
    <w:rsid w:val="00DB588E"/>
    <w:rsid w:val="00DB5BFA"/>
    <w:rsid w:val="00DB615D"/>
    <w:rsid w:val="00DB699F"/>
    <w:rsid w:val="00DB6B67"/>
    <w:rsid w:val="00DB6BC3"/>
    <w:rsid w:val="00DB70B0"/>
    <w:rsid w:val="00DB762A"/>
    <w:rsid w:val="00DB7EBD"/>
    <w:rsid w:val="00DC08B3"/>
    <w:rsid w:val="00DC09C2"/>
    <w:rsid w:val="00DC0DE4"/>
    <w:rsid w:val="00DC146C"/>
    <w:rsid w:val="00DC2246"/>
    <w:rsid w:val="00DC2363"/>
    <w:rsid w:val="00DC27B4"/>
    <w:rsid w:val="00DC2CEC"/>
    <w:rsid w:val="00DC308E"/>
    <w:rsid w:val="00DC318A"/>
    <w:rsid w:val="00DC3768"/>
    <w:rsid w:val="00DC3FCB"/>
    <w:rsid w:val="00DC40BA"/>
    <w:rsid w:val="00DC4410"/>
    <w:rsid w:val="00DC4422"/>
    <w:rsid w:val="00DC518C"/>
    <w:rsid w:val="00DC5256"/>
    <w:rsid w:val="00DC56CE"/>
    <w:rsid w:val="00DC5C54"/>
    <w:rsid w:val="00DC5F5B"/>
    <w:rsid w:val="00DC5FBD"/>
    <w:rsid w:val="00DC6477"/>
    <w:rsid w:val="00DC68DE"/>
    <w:rsid w:val="00DC7C5D"/>
    <w:rsid w:val="00DC7D00"/>
    <w:rsid w:val="00DD05C6"/>
    <w:rsid w:val="00DD06CB"/>
    <w:rsid w:val="00DD07E5"/>
    <w:rsid w:val="00DD0F18"/>
    <w:rsid w:val="00DD1322"/>
    <w:rsid w:val="00DD1573"/>
    <w:rsid w:val="00DD15B9"/>
    <w:rsid w:val="00DD1750"/>
    <w:rsid w:val="00DD176A"/>
    <w:rsid w:val="00DD1EEF"/>
    <w:rsid w:val="00DD21BE"/>
    <w:rsid w:val="00DD2560"/>
    <w:rsid w:val="00DD25B2"/>
    <w:rsid w:val="00DD33D7"/>
    <w:rsid w:val="00DD45A2"/>
    <w:rsid w:val="00DD486E"/>
    <w:rsid w:val="00DD491F"/>
    <w:rsid w:val="00DD4C43"/>
    <w:rsid w:val="00DD52F6"/>
    <w:rsid w:val="00DD5994"/>
    <w:rsid w:val="00DD5CE1"/>
    <w:rsid w:val="00DD6929"/>
    <w:rsid w:val="00DD6E82"/>
    <w:rsid w:val="00DD7297"/>
    <w:rsid w:val="00DD75E9"/>
    <w:rsid w:val="00DE080C"/>
    <w:rsid w:val="00DE0BB8"/>
    <w:rsid w:val="00DE0F6D"/>
    <w:rsid w:val="00DE2288"/>
    <w:rsid w:val="00DE2532"/>
    <w:rsid w:val="00DE2BA5"/>
    <w:rsid w:val="00DE2C66"/>
    <w:rsid w:val="00DE301C"/>
    <w:rsid w:val="00DE35AF"/>
    <w:rsid w:val="00DE39FB"/>
    <w:rsid w:val="00DE3A12"/>
    <w:rsid w:val="00DE3A96"/>
    <w:rsid w:val="00DE3C9B"/>
    <w:rsid w:val="00DE4331"/>
    <w:rsid w:val="00DE4857"/>
    <w:rsid w:val="00DE59CC"/>
    <w:rsid w:val="00DE5BB1"/>
    <w:rsid w:val="00DE6044"/>
    <w:rsid w:val="00DE6058"/>
    <w:rsid w:val="00DE624C"/>
    <w:rsid w:val="00DE6280"/>
    <w:rsid w:val="00DE651E"/>
    <w:rsid w:val="00DE65C7"/>
    <w:rsid w:val="00DE65ED"/>
    <w:rsid w:val="00DE66C2"/>
    <w:rsid w:val="00DE6715"/>
    <w:rsid w:val="00DE69DC"/>
    <w:rsid w:val="00DE6D7F"/>
    <w:rsid w:val="00DE6E00"/>
    <w:rsid w:val="00DE70D3"/>
    <w:rsid w:val="00DE7294"/>
    <w:rsid w:val="00DE7721"/>
    <w:rsid w:val="00DF12ED"/>
    <w:rsid w:val="00DF12FE"/>
    <w:rsid w:val="00DF151E"/>
    <w:rsid w:val="00DF172C"/>
    <w:rsid w:val="00DF1AF6"/>
    <w:rsid w:val="00DF2341"/>
    <w:rsid w:val="00DF2885"/>
    <w:rsid w:val="00DF288D"/>
    <w:rsid w:val="00DF290F"/>
    <w:rsid w:val="00DF2FDD"/>
    <w:rsid w:val="00DF3020"/>
    <w:rsid w:val="00DF3629"/>
    <w:rsid w:val="00DF36FA"/>
    <w:rsid w:val="00DF43DF"/>
    <w:rsid w:val="00DF453E"/>
    <w:rsid w:val="00DF4F97"/>
    <w:rsid w:val="00DF507F"/>
    <w:rsid w:val="00DF5BE3"/>
    <w:rsid w:val="00DF6803"/>
    <w:rsid w:val="00DF7526"/>
    <w:rsid w:val="00DF7742"/>
    <w:rsid w:val="00DF7937"/>
    <w:rsid w:val="00E000B2"/>
    <w:rsid w:val="00E000F3"/>
    <w:rsid w:val="00E00265"/>
    <w:rsid w:val="00E0065C"/>
    <w:rsid w:val="00E00A3B"/>
    <w:rsid w:val="00E00F00"/>
    <w:rsid w:val="00E01820"/>
    <w:rsid w:val="00E0216C"/>
    <w:rsid w:val="00E02228"/>
    <w:rsid w:val="00E02953"/>
    <w:rsid w:val="00E02B5E"/>
    <w:rsid w:val="00E02C93"/>
    <w:rsid w:val="00E02DC5"/>
    <w:rsid w:val="00E02EBB"/>
    <w:rsid w:val="00E03BDA"/>
    <w:rsid w:val="00E03CF4"/>
    <w:rsid w:val="00E0417A"/>
    <w:rsid w:val="00E04538"/>
    <w:rsid w:val="00E04787"/>
    <w:rsid w:val="00E05767"/>
    <w:rsid w:val="00E059BF"/>
    <w:rsid w:val="00E05A06"/>
    <w:rsid w:val="00E06138"/>
    <w:rsid w:val="00E0636A"/>
    <w:rsid w:val="00E07692"/>
    <w:rsid w:val="00E1016A"/>
    <w:rsid w:val="00E10841"/>
    <w:rsid w:val="00E11526"/>
    <w:rsid w:val="00E121B2"/>
    <w:rsid w:val="00E12D16"/>
    <w:rsid w:val="00E12D23"/>
    <w:rsid w:val="00E12F8B"/>
    <w:rsid w:val="00E138D5"/>
    <w:rsid w:val="00E13C99"/>
    <w:rsid w:val="00E14ACB"/>
    <w:rsid w:val="00E14B1F"/>
    <w:rsid w:val="00E14BBB"/>
    <w:rsid w:val="00E14C9A"/>
    <w:rsid w:val="00E14F66"/>
    <w:rsid w:val="00E1530E"/>
    <w:rsid w:val="00E153B2"/>
    <w:rsid w:val="00E154E7"/>
    <w:rsid w:val="00E156D0"/>
    <w:rsid w:val="00E15EB3"/>
    <w:rsid w:val="00E16383"/>
    <w:rsid w:val="00E16598"/>
    <w:rsid w:val="00E16675"/>
    <w:rsid w:val="00E1751E"/>
    <w:rsid w:val="00E176AF"/>
    <w:rsid w:val="00E177CC"/>
    <w:rsid w:val="00E17A29"/>
    <w:rsid w:val="00E17B02"/>
    <w:rsid w:val="00E17BFC"/>
    <w:rsid w:val="00E209A4"/>
    <w:rsid w:val="00E20FF8"/>
    <w:rsid w:val="00E21417"/>
    <w:rsid w:val="00E21491"/>
    <w:rsid w:val="00E21552"/>
    <w:rsid w:val="00E216FF"/>
    <w:rsid w:val="00E2191B"/>
    <w:rsid w:val="00E21F38"/>
    <w:rsid w:val="00E22384"/>
    <w:rsid w:val="00E225D0"/>
    <w:rsid w:val="00E2267E"/>
    <w:rsid w:val="00E23AEA"/>
    <w:rsid w:val="00E244D1"/>
    <w:rsid w:val="00E24B5E"/>
    <w:rsid w:val="00E24F10"/>
    <w:rsid w:val="00E24F98"/>
    <w:rsid w:val="00E25541"/>
    <w:rsid w:val="00E255AE"/>
    <w:rsid w:val="00E256B5"/>
    <w:rsid w:val="00E26079"/>
    <w:rsid w:val="00E26342"/>
    <w:rsid w:val="00E26679"/>
    <w:rsid w:val="00E276C4"/>
    <w:rsid w:val="00E27E55"/>
    <w:rsid w:val="00E27FFB"/>
    <w:rsid w:val="00E302A4"/>
    <w:rsid w:val="00E30C05"/>
    <w:rsid w:val="00E314BF"/>
    <w:rsid w:val="00E3177E"/>
    <w:rsid w:val="00E31AC1"/>
    <w:rsid w:val="00E3293E"/>
    <w:rsid w:val="00E332AC"/>
    <w:rsid w:val="00E33619"/>
    <w:rsid w:val="00E347D8"/>
    <w:rsid w:val="00E34C1F"/>
    <w:rsid w:val="00E34D4D"/>
    <w:rsid w:val="00E34E11"/>
    <w:rsid w:val="00E3550E"/>
    <w:rsid w:val="00E3567F"/>
    <w:rsid w:val="00E3573A"/>
    <w:rsid w:val="00E35A12"/>
    <w:rsid w:val="00E35CB5"/>
    <w:rsid w:val="00E35D08"/>
    <w:rsid w:val="00E35DF7"/>
    <w:rsid w:val="00E36126"/>
    <w:rsid w:val="00E36797"/>
    <w:rsid w:val="00E37001"/>
    <w:rsid w:val="00E37A74"/>
    <w:rsid w:val="00E400E0"/>
    <w:rsid w:val="00E40618"/>
    <w:rsid w:val="00E42099"/>
    <w:rsid w:val="00E42794"/>
    <w:rsid w:val="00E4290B"/>
    <w:rsid w:val="00E42945"/>
    <w:rsid w:val="00E42AA6"/>
    <w:rsid w:val="00E42B5A"/>
    <w:rsid w:val="00E42C78"/>
    <w:rsid w:val="00E4309F"/>
    <w:rsid w:val="00E437C3"/>
    <w:rsid w:val="00E438EC"/>
    <w:rsid w:val="00E43AFA"/>
    <w:rsid w:val="00E43DCE"/>
    <w:rsid w:val="00E43FA1"/>
    <w:rsid w:val="00E4446F"/>
    <w:rsid w:val="00E446C6"/>
    <w:rsid w:val="00E447C0"/>
    <w:rsid w:val="00E44867"/>
    <w:rsid w:val="00E44B92"/>
    <w:rsid w:val="00E44BDA"/>
    <w:rsid w:val="00E44C45"/>
    <w:rsid w:val="00E45312"/>
    <w:rsid w:val="00E4638F"/>
    <w:rsid w:val="00E47037"/>
    <w:rsid w:val="00E472D2"/>
    <w:rsid w:val="00E50D0D"/>
    <w:rsid w:val="00E50E4E"/>
    <w:rsid w:val="00E50EDE"/>
    <w:rsid w:val="00E51079"/>
    <w:rsid w:val="00E51D4D"/>
    <w:rsid w:val="00E524CD"/>
    <w:rsid w:val="00E52616"/>
    <w:rsid w:val="00E52FC6"/>
    <w:rsid w:val="00E53180"/>
    <w:rsid w:val="00E531C7"/>
    <w:rsid w:val="00E53384"/>
    <w:rsid w:val="00E534D5"/>
    <w:rsid w:val="00E537E6"/>
    <w:rsid w:val="00E541ED"/>
    <w:rsid w:val="00E54555"/>
    <w:rsid w:val="00E54579"/>
    <w:rsid w:val="00E54AA9"/>
    <w:rsid w:val="00E54AD6"/>
    <w:rsid w:val="00E55301"/>
    <w:rsid w:val="00E555D9"/>
    <w:rsid w:val="00E55BDF"/>
    <w:rsid w:val="00E55BEF"/>
    <w:rsid w:val="00E56245"/>
    <w:rsid w:val="00E563D9"/>
    <w:rsid w:val="00E5648D"/>
    <w:rsid w:val="00E56B90"/>
    <w:rsid w:val="00E57346"/>
    <w:rsid w:val="00E5759F"/>
    <w:rsid w:val="00E576CE"/>
    <w:rsid w:val="00E57A8E"/>
    <w:rsid w:val="00E60060"/>
    <w:rsid w:val="00E60406"/>
    <w:rsid w:val="00E605DA"/>
    <w:rsid w:val="00E60698"/>
    <w:rsid w:val="00E60EBD"/>
    <w:rsid w:val="00E61BA3"/>
    <w:rsid w:val="00E61BD4"/>
    <w:rsid w:val="00E62210"/>
    <w:rsid w:val="00E622AF"/>
    <w:rsid w:val="00E624CD"/>
    <w:rsid w:val="00E62788"/>
    <w:rsid w:val="00E634A9"/>
    <w:rsid w:val="00E63C85"/>
    <w:rsid w:val="00E64C44"/>
    <w:rsid w:val="00E64CC8"/>
    <w:rsid w:val="00E653AB"/>
    <w:rsid w:val="00E665FF"/>
    <w:rsid w:val="00E6677B"/>
    <w:rsid w:val="00E6688E"/>
    <w:rsid w:val="00E66F2F"/>
    <w:rsid w:val="00E66FB5"/>
    <w:rsid w:val="00E67084"/>
    <w:rsid w:val="00E673E0"/>
    <w:rsid w:val="00E70298"/>
    <w:rsid w:val="00E70499"/>
    <w:rsid w:val="00E70B8C"/>
    <w:rsid w:val="00E70CD7"/>
    <w:rsid w:val="00E70F3B"/>
    <w:rsid w:val="00E715F1"/>
    <w:rsid w:val="00E71ACE"/>
    <w:rsid w:val="00E722B8"/>
    <w:rsid w:val="00E7283F"/>
    <w:rsid w:val="00E7286D"/>
    <w:rsid w:val="00E72FE4"/>
    <w:rsid w:val="00E730E5"/>
    <w:rsid w:val="00E73209"/>
    <w:rsid w:val="00E7326B"/>
    <w:rsid w:val="00E732F8"/>
    <w:rsid w:val="00E7337B"/>
    <w:rsid w:val="00E73398"/>
    <w:rsid w:val="00E734E3"/>
    <w:rsid w:val="00E73699"/>
    <w:rsid w:val="00E73932"/>
    <w:rsid w:val="00E73CE3"/>
    <w:rsid w:val="00E75910"/>
    <w:rsid w:val="00E75B7C"/>
    <w:rsid w:val="00E75F7D"/>
    <w:rsid w:val="00E760FC"/>
    <w:rsid w:val="00E765F5"/>
    <w:rsid w:val="00E76B29"/>
    <w:rsid w:val="00E76CD4"/>
    <w:rsid w:val="00E76DF7"/>
    <w:rsid w:val="00E7766E"/>
    <w:rsid w:val="00E77D45"/>
    <w:rsid w:val="00E77F82"/>
    <w:rsid w:val="00E801A2"/>
    <w:rsid w:val="00E807D1"/>
    <w:rsid w:val="00E80D53"/>
    <w:rsid w:val="00E80DC8"/>
    <w:rsid w:val="00E81391"/>
    <w:rsid w:val="00E816DA"/>
    <w:rsid w:val="00E81B3F"/>
    <w:rsid w:val="00E8292C"/>
    <w:rsid w:val="00E82F27"/>
    <w:rsid w:val="00E833A4"/>
    <w:rsid w:val="00E83CF8"/>
    <w:rsid w:val="00E83D3E"/>
    <w:rsid w:val="00E83F35"/>
    <w:rsid w:val="00E843D9"/>
    <w:rsid w:val="00E851E1"/>
    <w:rsid w:val="00E8587A"/>
    <w:rsid w:val="00E85CBA"/>
    <w:rsid w:val="00E85E5E"/>
    <w:rsid w:val="00E85ECE"/>
    <w:rsid w:val="00E85FF2"/>
    <w:rsid w:val="00E86341"/>
    <w:rsid w:val="00E86C19"/>
    <w:rsid w:val="00E86C62"/>
    <w:rsid w:val="00E86DF1"/>
    <w:rsid w:val="00E86E55"/>
    <w:rsid w:val="00E87314"/>
    <w:rsid w:val="00E876F9"/>
    <w:rsid w:val="00E879EF"/>
    <w:rsid w:val="00E90013"/>
    <w:rsid w:val="00E90166"/>
    <w:rsid w:val="00E903A2"/>
    <w:rsid w:val="00E90678"/>
    <w:rsid w:val="00E9075B"/>
    <w:rsid w:val="00E90CDC"/>
    <w:rsid w:val="00E90E2E"/>
    <w:rsid w:val="00E91437"/>
    <w:rsid w:val="00E91958"/>
    <w:rsid w:val="00E922C7"/>
    <w:rsid w:val="00E92503"/>
    <w:rsid w:val="00E927E4"/>
    <w:rsid w:val="00E9293E"/>
    <w:rsid w:val="00E93080"/>
    <w:rsid w:val="00E93A7F"/>
    <w:rsid w:val="00E93FC8"/>
    <w:rsid w:val="00E947DA"/>
    <w:rsid w:val="00E948E3"/>
    <w:rsid w:val="00E94C92"/>
    <w:rsid w:val="00E94DD8"/>
    <w:rsid w:val="00E9560D"/>
    <w:rsid w:val="00E95AF5"/>
    <w:rsid w:val="00E9630A"/>
    <w:rsid w:val="00E96331"/>
    <w:rsid w:val="00E96396"/>
    <w:rsid w:val="00E969C2"/>
    <w:rsid w:val="00E96FBE"/>
    <w:rsid w:val="00E97222"/>
    <w:rsid w:val="00E97B5E"/>
    <w:rsid w:val="00E97F4D"/>
    <w:rsid w:val="00E97FFE"/>
    <w:rsid w:val="00EA0254"/>
    <w:rsid w:val="00EA042A"/>
    <w:rsid w:val="00EA0BAF"/>
    <w:rsid w:val="00EA101B"/>
    <w:rsid w:val="00EA1255"/>
    <w:rsid w:val="00EA169B"/>
    <w:rsid w:val="00EA1CBF"/>
    <w:rsid w:val="00EA1E44"/>
    <w:rsid w:val="00EA2F75"/>
    <w:rsid w:val="00EA30C7"/>
    <w:rsid w:val="00EA4110"/>
    <w:rsid w:val="00EA44EB"/>
    <w:rsid w:val="00EA4E7C"/>
    <w:rsid w:val="00EA4F27"/>
    <w:rsid w:val="00EA5389"/>
    <w:rsid w:val="00EA55DC"/>
    <w:rsid w:val="00EA5663"/>
    <w:rsid w:val="00EA5CCA"/>
    <w:rsid w:val="00EA5EF1"/>
    <w:rsid w:val="00EA68F0"/>
    <w:rsid w:val="00EA6BD3"/>
    <w:rsid w:val="00EA6CDD"/>
    <w:rsid w:val="00EA7DF1"/>
    <w:rsid w:val="00EB0494"/>
    <w:rsid w:val="00EB058E"/>
    <w:rsid w:val="00EB0918"/>
    <w:rsid w:val="00EB23CA"/>
    <w:rsid w:val="00EB2F9D"/>
    <w:rsid w:val="00EB322C"/>
    <w:rsid w:val="00EB3781"/>
    <w:rsid w:val="00EB3CD3"/>
    <w:rsid w:val="00EB4DA4"/>
    <w:rsid w:val="00EB50AA"/>
    <w:rsid w:val="00EB50FB"/>
    <w:rsid w:val="00EB5415"/>
    <w:rsid w:val="00EB5E66"/>
    <w:rsid w:val="00EB604F"/>
    <w:rsid w:val="00EB7211"/>
    <w:rsid w:val="00EB78DB"/>
    <w:rsid w:val="00EC0695"/>
    <w:rsid w:val="00EC09A2"/>
    <w:rsid w:val="00EC0F72"/>
    <w:rsid w:val="00EC18BC"/>
    <w:rsid w:val="00EC1966"/>
    <w:rsid w:val="00EC1BE4"/>
    <w:rsid w:val="00EC2330"/>
    <w:rsid w:val="00EC240D"/>
    <w:rsid w:val="00EC2A21"/>
    <w:rsid w:val="00EC2B81"/>
    <w:rsid w:val="00EC2F3B"/>
    <w:rsid w:val="00EC39CB"/>
    <w:rsid w:val="00EC3BB4"/>
    <w:rsid w:val="00EC3F4F"/>
    <w:rsid w:val="00EC413A"/>
    <w:rsid w:val="00EC4364"/>
    <w:rsid w:val="00EC488E"/>
    <w:rsid w:val="00EC4F35"/>
    <w:rsid w:val="00EC503B"/>
    <w:rsid w:val="00EC565E"/>
    <w:rsid w:val="00EC5C52"/>
    <w:rsid w:val="00EC5C76"/>
    <w:rsid w:val="00EC7BEF"/>
    <w:rsid w:val="00EC7C5D"/>
    <w:rsid w:val="00EC7EF7"/>
    <w:rsid w:val="00ED0220"/>
    <w:rsid w:val="00ED0B29"/>
    <w:rsid w:val="00ED1298"/>
    <w:rsid w:val="00ED17F2"/>
    <w:rsid w:val="00ED1AA5"/>
    <w:rsid w:val="00ED1FA8"/>
    <w:rsid w:val="00ED2FFE"/>
    <w:rsid w:val="00ED31E2"/>
    <w:rsid w:val="00ED34A2"/>
    <w:rsid w:val="00ED3A71"/>
    <w:rsid w:val="00ED3CC7"/>
    <w:rsid w:val="00ED46BA"/>
    <w:rsid w:val="00ED548F"/>
    <w:rsid w:val="00ED59A3"/>
    <w:rsid w:val="00ED5B88"/>
    <w:rsid w:val="00ED5D41"/>
    <w:rsid w:val="00ED5FAB"/>
    <w:rsid w:val="00ED6359"/>
    <w:rsid w:val="00ED7270"/>
    <w:rsid w:val="00ED73ED"/>
    <w:rsid w:val="00ED7652"/>
    <w:rsid w:val="00ED7DD7"/>
    <w:rsid w:val="00EE0A6E"/>
    <w:rsid w:val="00EE1966"/>
    <w:rsid w:val="00EE1F12"/>
    <w:rsid w:val="00EE221D"/>
    <w:rsid w:val="00EE226F"/>
    <w:rsid w:val="00EE2303"/>
    <w:rsid w:val="00EE2FD7"/>
    <w:rsid w:val="00EE3381"/>
    <w:rsid w:val="00EE33F5"/>
    <w:rsid w:val="00EE3D02"/>
    <w:rsid w:val="00EE423D"/>
    <w:rsid w:val="00EE4A8D"/>
    <w:rsid w:val="00EE4BAD"/>
    <w:rsid w:val="00EE4D79"/>
    <w:rsid w:val="00EE5254"/>
    <w:rsid w:val="00EE5651"/>
    <w:rsid w:val="00EE57AD"/>
    <w:rsid w:val="00EE5F7A"/>
    <w:rsid w:val="00EE68D1"/>
    <w:rsid w:val="00EE6C2D"/>
    <w:rsid w:val="00EE6EBD"/>
    <w:rsid w:val="00EE7BB6"/>
    <w:rsid w:val="00EF059C"/>
    <w:rsid w:val="00EF0C65"/>
    <w:rsid w:val="00EF0D7E"/>
    <w:rsid w:val="00EF0DE3"/>
    <w:rsid w:val="00EF1015"/>
    <w:rsid w:val="00EF15BC"/>
    <w:rsid w:val="00EF17EF"/>
    <w:rsid w:val="00EF2ED8"/>
    <w:rsid w:val="00EF333E"/>
    <w:rsid w:val="00EF40C3"/>
    <w:rsid w:val="00EF4834"/>
    <w:rsid w:val="00EF586A"/>
    <w:rsid w:val="00EF58CC"/>
    <w:rsid w:val="00EF5E3E"/>
    <w:rsid w:val="00EF5E96"/>
    <w:rsid w:val="00EF62F4"/>
    <w:rsid w:val="00EF636F"/>
    <w:rsid w:val="00EF6BAC"/>
    <w:rsid w:val="00EF6E48"/>
    <w:rsid w:val="00EF70E2"/>
    <w:rsid w:val="00EF71F7"/>
    <w:rsid w:val="00EF76B4"/>
    <w:rsid w:val="00EF7A95"/>
    <w:rsid w:val="00EF7DFE"/>
    <w:rsid w:val="00F00283"/>
    <w:rsid w:val="00F008E1"/>
    <w:rsid w:val="00F00CEC"/>
    <w:rsid w:val="00F00F2E"/>
    <w:rsid w:val="00F01278"/>
    <w:rsid w:val="00F017D0"/>
    <w:rsid w:val="00F01B9D"/>
    <w:rsid w:val="00F01FB8"/>
    <w:rsid w:val="00F0206C"/>
    <w:rsid w:val="00F02C79"/>
    <w:rsid w:val="00F02CED"/>
    <w:rsid w:val="00F0325A"/>
    <w:rsid w:val="00F03289"/>
    <w:rsid w:val="00F03865"/>
    <w:rsid w:val="00F03B47"/>
    <w:rsid w:val="00F04649"/>
    <w:rsid w:val="00F04B51"/>
    <w:rsid w:val="00F04C56"/>
    <w:rsid w:val="00F04D41"/>
    <w:rsid w:val="00F04FBD"/>
    <w:rsid w:val="00F052B5"/>
    <w:rsid w:val="00F05CDD"/>
    <w:rsid w:val="00F05DE5"/>
    <w:rsid w:val="00F0641D"/>
    <w:rsid w:val="00F06B9C"/>
    <w:rsid w:val="00F06C3F"/>
    <w:rsid w:val="00F06DC0"/>
    <w:rsid w:val="00F072AF"/>
    <w:rsid w:val="00F102BA"/>
    <w:rsid w:val="00F105D0"/>
    <w:rsid w:val="00F10B65"/>
    <w:rsid w:val="00F10C9A"/>
    <w:rsid w:val="00F10F1A"/>
    <w:rsid w:val="00F114E8"/>
    <w:rsid w:val="00F1186A"/>
    <w:rsid w:val="00F11B93"/>
    <w:rsid w:val="00F123A9"/>
    <w:rsid w:val="00F125E9"/>
    <w:rsid w:val="00F12808"/>
    <w:rsid w:val="00F12835"/>
    <w:rsid w:val="00F12BCF"/>
    <w:rsid w:val="00F12E0A"/>
    <w:rsid w:val="00F12EF0"/>
    <w:rsid w:val="00F13473"/>
    <w:rsid w:val="00F13B01"/>
    <w:rsid w:val="00F1401F"/>
    <w:rsid w:val="00F145EF"/>
    <w:rsid w:val="00F14999"/>
    <w:rsid w:val="00F15DD5"/>
    <w:rsid w:val="00F15ED3"/>
    <w:rsid w:val="00F15FC3"/>
    <w:rsid w:val="00F160AA"/>
    <w:rsid w:val="00F162E5"/>
    <w:rsid w:val="00F16717"/>
    <w:rsid w:val="00F16C8B"/>
    <w:rsid w:val="00F16D58"/>
    <w:rsid w:val="00F16DCF"/>
    <w:rsid w:val="00F17317"/>
    <w:rsid w:val="00F17419"/>
    <w:rsid w:val="00F2072E"/>
    <w:rsid w:val="00F20968"/>
    <w:rsid w:val="00F20C31"/>
    <w:rsid w:val="00F210F8"/>
    <w:rsid w:val="00F214A7"/>
    <w:rsid w:val="00F2170B"/>
    <w:rsid w:val="00F21833"/>
    <w:rsid w:val="00F21A9B"/>
    <w:rsid w:val="00F21D35"/>
    <w:rsid w:val="00F222A0"/>
    <w:rsid w:val="00F22437"/>
    <w:rsid w:val="00F227B1"/>
    <w:rsid w:val="00F227CE"/>
    <w:rsid w:val="00F2294A"/>
    <w:rsid w:val="00F232B9"/>
    <w:rsid w:val="00F234CE"/>
    <w:rsid w:val="00F23750"/>
    <w:rsid w:val="00F2379C"/>
    <w:rsid w:val="00F23FC0"/>
    <w:rsid w:val="00F24005"/>
    <w:rsid w:val="00F24603"/>
    <w:rsid w:val="00F246C4"/>
    <w:rsid w:val="00F24753"/>
    <w:rsid w:val="00F24874"/>
    <w:rsid w:val="00F24948"/>
    <w:rsid w:val="00F24AED"/>
    <w:rsid w:val="00F24CCE"/>
    <w:rsid w:val="00F25700"/>
    <w:rsid w:val="00F25B82"/>
    <w:rsid w:val="00F25C97"/>
    <w:rsid w:val="00F264B5"/>
    <w:rsid w:val="00F26578"/>
    <w:rsid w:val="00F26704"/>
    <w:rsid w:val="00F273AC"/>
    <w:rsid w:val="00F27AE9"/>
    <w:rsid w:val="00F30344"/>
    <w:rsid w:val="00F306AD"/>
    <w:rsid w:val="00F309AE"/>
    <w:rsid w:val="00F30E05"/>
    <w:rsid w:val="00F30E0A"/>
    <w:rsid w:val="00F30E20"/>
    <w:rsid w:val="00F316E2"/>
    <w:rsid w:val="00F31919"/>
    <w:rsid w:val="00F31C67"/>
    <w:rsid w:val="00F31F17"/>
    <w:rsid w:val="00F31FC0"/>
    <w:rsid w:val="00F3271F"/>
    <w:rsid w:val="00F32A30"/>
    <w:rsid w:val="00F32B48"/>
    <w:rsid w:val="00F32B88"/>
    <w:rsid w:val="00F33987"/>
    <w:rsid w:val="00F33A91"/>
    <w:rsid w:val="00F33D55"/>
    <w:rsid w:val="00F33DBB"/>
    <w:rsid w:val="00F34105"/>
    <w:rsid w:val="00F343BB"/>
    <w:rsid w:val="00F345DD"/>
    <w:rsid w:val="00F347F1"/>
    <w:rsid w:val="00F348B0"/>
    <w:rsid w:val="00F34A91"/>
    <w:rsid w:val="00F34B16"/>
    <w:rsid w:val="00F34C9D"/>
    <w:rsid w:val="00F352DE"/>
    <w:rsid w:val="00F35491"/>
    <w:rsid w:val="00F358FA"/>
    <w:rsid w:val="00F35967"/>
    <w:rsid w:val="00F35A3C"/>
    <w:rsid w:val="00F35AF4"/>
    <w:rsid w:val="00F35DC1"/>
    <w:rsid w:val="00F3663E"/>
    <w:rsid w:val="00F36941"/>
    <w:rsid w:val="00F36BC6"/>
    <w:rsid w:val="00F36BEA"/>
    <w:rsid w:val="00F36FF4"/>
    <w:rsid w:val="00F37323"/>
    <w:rsid w:val="00F374BD"/>
    <w:rsid w:val="00F377E4"/>
    <w:rsid w:val="00F377E5"/>
    <w:rsid w:val="00F3791C"/>
    <w:rsid w:val="00F379B5"/>
    <w:rsid w:val="00F402F6"/>
    <w:rsid w:val="00F40335"/>
    <w:rsid w:val="00F404B4"/>
    <w:rsid w:val="00F40511"/>
    <w:rsid w:val="00F40CAA"/>
    <w:rsid w:val="00F410E8"/>
    <w:rsid w:val="00F41276"/>
    <w:rsid w:val="00F41CFF"/>
    <w:rsid w:val="00F41FD3"/>
    <w:rsid w:val="00F42220"/>
    <w:rsid w:val="00F42314"/>
    <w:rsid w:val="00F424A5"/>
    <w:rsid w:val="00F4279A"/>
    <w:rsid w:val="00F42C96"/>
    <w:rsid w:val="00F42E60"/>
    <w:rsid w:val="00F43275"/>
    <w:rsid w:val="00F4380C"/>
    <w:rsid w:val="00F443C8"/>
    <w:rsid w:val="00F444D2"/>
    <w:rsid w:val="00F4532C"/>
    <w:rsid w:val="00F45B54"/>
    <w:rsid w:val="00F45CA7"/>
    <w:rsid w:val="00F46174"/>
    <w:rsid w:val="00F46B4C"/>
    <w:rsid w:val="00F46CB5"/>
    <w:rsid w:val="00F47800"/>
    <w:rsid w:val="00F50C73"/>
    <w:rsid w:val="00F50CD4"/>
    <w:rsid w:val="00F50D53"/>
    <w:rsid w:val="00F50F05"/>
    <w:rsid w:val="00F517F6"/>
    <w:rsid w:val="00F52251"/>
    <w:rsid w:val="00F52868"/>
    <w:rsid w:val="00F5302A"/>
    <w:rsid w:val="00F53630"/>
    <w:rsid w:val="00F53C0B"/>
    <w:rsid w:val="00F53CAC"/>
    <w:rsid w:val="00F53CC7"/>
    <w:rsid w:val="00F54305"/>
    <w:rsid w:val="00F54583"/>
    <w:rsid w:val="00F545FC"/>
    <w:rsid w:val="00F54757"/>
    <w:rsid w:val="00F54868"/>
    <w:rsid w:val="00F54A11"/>
    <w:rsid w:val="00F5543D"/>
    <w:rsid w:val="00F556A8"/>
    <w:rsid w:val="00F5593E"/>
    <w:rsid w:val="00F56366"/>
    <w:rsid w:val="00F563B9"/>
    <w:rsid w:val="00F567F5"/>
    <w:rsid w:val="00F56F0F"/>
    <w:rsid w:val="00F573AB"/>
    <w:rsid w:val="00F57BCA"/>
    <w:rsid w:val="00F60108"/>
    <w:rsid w:val="00F60135"/>
    <w:rsid w:val="00F602F6"/>
    <w:rsid w:val="00F607E8"/>
    <w:rsid w:val="00F608E9"/>
    <w:rsid w:val="00F60973"/>
    <w:rsid w:val="00F60B94"/>
    <w:rsid w:val="00F611D0"/>
    <w:rsid w:val="00F61897"/>
    <w:rsid w:val="00F61906"/>
    <w:rsid w:val="00F61D72"/>
    <w:rsid w:val="00F6203A"/>
    <w:rsid w:val="00F6214B"/>
    <w:rsid w:val="00F6256E"/>
    <w:rsid w:val="00F62F43"/>
    <w:rsid w:val="00F62F54"/>
    <w:rsid w:val="00F63524"/>
    <w:rsid w:val="00F638D7"/>
    <w:rsid w:val="00F63988"/>
    <w:rsid w:val="00F63AD3"/>
    <w:rsid w:val="00F63B42"/>
    <w:rsid w:val="00F640BF"/>
    <w:rsid w:val="00F642E9"/>
    <w:rsid w:val="00F64412"/>
    <w:rsid w:val="00F649B4"/>
    <w:rsid w:val="00F64C6A"/>
    <w:rsid w:val="00F650EE"/>
    <w:rsid w:val="00F6529A"/>
    <w:rsid w:val="00F654A6"/>
    <w:rsid w:val="00F65519"/>
    <w:rsid w:val="00F65639"/>
    <w:rsid w:val="00F658BE"/>
    <w:rsid w:val="00F659E3"/>
    <w:rsid w:val="00F65AAF"/>
    <w:rsid w:val="00F65B2E"/>
    <w:rsid w:val="00F65B7E"/>
    <w:rsid w:val="00F65F6D"/>
    <w:rsid w:val="00F66030"/>
    <w:rsid w:val="00F664DC"/>
    <w:rsid w:val="00F664EF"/>
    <w:rsid w:val="00F665C4"/>
    <w:rsid w:val="00F668DB"/>
    <w:rsid w:val="00F66E9A"/>
    <w:rsid w:val="00F67742"/>
    <w:rsid w:val="00F6780F"/>
    <w:rsid w:val="00F67F3F"/>
    <w:rsid w:val="00F702B2"/>
    <w:rsid w:val="00F7059E"/>
    <w:rsid w:val="00F70740"/>
    <w:rsid w:val="00F70927"/>
    <w:rsid w:val="00F70A94"/>
    <w:rsid w:val="00F70EA6"/>
    <w:rsid w:val="00F7110E"/>
    <w:rsid w:val="00F713E4"/>
    <w:rsid w:val="00F7167F"/>
    <w:rsid w:val="00F72197"/>
    <w:rsid w:val="00F7232C"/>
    <w:rsid w:val="00F730D3"/>
    <w:rsid w:val="00F731F2"/>
    <w:rsid w:val="00F73348"/>
    <w:rsid w:val="00F73856"/>
    <w:rsid w:val="00F73AA1"/>
    <w:rsid w:val="00F73ED2"/>
    <w:rsid w:val="00F74370"/>
    <w:rsid w:val="00F75238"/>
    <w:rsid w:val="00F7530F"/>
    <w:rsid w:val="00F75733"/>
    <w:rsid w:val="00F76252"/>
    <w:rsid w:val="00F7636E"/>
    <w:rsid w:val="00F764F5"/>
    <w:rsid w:val="00F7663A"/>
    <w:rsid w:val="00F7690D"/>
    <w:rsid w:val="00F76ABD"/>
    <w:rsid w:val="00F76CC6"/>
    <w:rsid w:val="00F76DCE"/>
    <w:rsid w:val="00F7702D"/>
    <w:rsid w:val="00F77149"/>
    <w:rsid w:val="00F77401"/>
    <w:rsid w:val="00F77418"/>
    <w:rsid w:val="00F7771D"/>
    <w:rsid w:val="00F77D16"/>
    <w:rsid w:val="00F77F2B"/>
    <w:rsid w:val="00F80619"/>
    <w:rsid w:val="00F80975"/>
    <w:rsid w:val="00F821AE"/>
    <w:rsid w:val="00F821EA"/>
    <w:rsid w:val="00F8279E"/>
    <w:rsid w:val="00F8364A"/>
    <w:rsid w:val="00F837A5"/>
    <w:rsid w:val="00F83815"/>
    <w:rsid w:val="00F8382C"/>
    <w:rsid w:val="00F83B24"/>
    <w:rsid w:val="00F84A03"/>
    <w:rsid w:val="00F84B55"/>
    <w:rsid w:val="00F8530A"/>
    <w:rsid w:val="00F85549"/>
    <w:rsid w:val="00F85A30"/>
    <w:rsid w:val="00F864E9"/>
    <w:rsid w:val="00F8651F"/>
    <w:rsid w:val="00F87220"/>
    <w:rsid w:val="00F87691"/>
    <w:rsid w:val="00F87AF2"/>
    <w:rsid w:val="00F87F19"/>
    <w:rsid w:val="00F902F2"/>
    <w:rsid w:val="00F90342"/>
    <w:rsid w:val="00F9037B"/>
    <w:rsid w:val="00F90DA3"/>
    <w:rsid w:val="00F90FD6"/>
    <w:rsid w:val="00F9103F"/>
    <w:rsid w:val="00F910A6"/>
    <w:rsid w:val="00F91400"/>
    <w:rsid w:val="00F916F2"/>
    <w:rsid w:val="00F918CD"/>
    <w:rsid w:val="00F9220B"/>
    <w:rsid w:val="00F92239"/>
    <w:rsid w:val="00F924EF"/>
    <w:rsid w:val="00F92ECC"/>
    <w:rsid w:val="00F93414"/>
    <w:rsid w:val="00F944A4"/>
    <w:rsid w:val="00F944DC"/>
    <w:rsid w:val="00F94BD5"/>
    <w:rsid w:val="00F951A9"/>
    <w:rsid w:val="00F96650"/>
    <w:rsid w:val="00F96693"/>
    <w:rsid w:val="00F9671A"/>
    <w:rsid w:val="00F967C4"/>
    <w:rsid w:val="00F9697E"/>
    <w:rsid w:val="00F969C6"/>
    <w:rsid w:val="00F96F4B"/>
    <w:rsid w:val="00FA01D3"/>
    <w:rsid w:val="00FA0352"/>
    <w:rsid w:val="00FA0A76"/>
    <w:rsid w:val="00FA1470"/>
    <w:rsid w:val="00FA2585"/>
    <w:rsid w:val="00FA26E8"/>
    <w:rsid w:val="00FA2989"/>
    <w:rsid w:val="00FA30DE"/>
    <w:rsid w:val="00FA3894"/>
    <w:rsid w:val="00FA398A"/>
    <w:rsid w:val="00FA3EDF"/>
    <w:rsid w:val="00FA4578"/>
    <w:rsid w:val="00FA469F"/>
    <w:rsid w:val="00FA47B9"/>
    <w:rsid w:val="00FA4850"/>
    <w:rsid w:val="00FA4962"/>
    <w:rsid w:val="00FA5483"/>
    <w:rsid w:val="00FA58B8"/>
    <w:rsid w:val="00FA64A9"/>
    <w:rsid w:val="00FA6AD9"/>
    <w:rsid w:val="00FA6C99"/>
    <w:rsid w:val="00FA6CE3"/>
    <w:rsid w:val="00FA7B05"/>
    <w:rsid w:val="00FA7C5A"/>
    <w:rsid w:val="00FB0743"/>
    <w:rsid w:val="00FB0A3E"/>
    <w:rsid w:val="00FB1562"/>
    <w:rsid w:val="00FB182D"/>
    <w:rsid w:val="00FB1887"/>
    <w:rsid w:val="00FB199D"/>
    <w:rsid w:val="00FB1DDB"/>
    <w:rsid w:val="00FB1F32"/>
    <w:rsid w:val="00FB218C"/>
    <w:rsid w:val="00FB219A"/>
    <w:rsid w:val="00FB23E6"/>
    <w:rsid w:val="00FB2E0F"/>
    <w:rsid w:val="00FB2F79"/>
    <w:rsid w:val="00FB3A33"/>
    <w:rsid w:val="00FB3E34"/>
    <w:rsid w:val="00FB3F91"/>
    <w:rsid w:val="00FB44E5"/>
    <w:rsid w:val="00FB48DB"/>
    <w:rsid w:val="00FB4B50"/>
    <w:rsid w:val="00FB4B72"/>
    <w:rsid w:val="00FB4F1D"/>
    <w:rsid w:val="00FB5526"/>
    <w:rsid w:val="00FB5776"/>
    <w:rsid w:val="00FB58FB"/>
    <w:rsid w:val="00FB5A71"/>
    <w:rsid w:val="00FB60F4"/>
    <w:rsid w:val="00FB61FE"/>
    <w:rsid w:val="00FB6428"/>
    <w:rsid w:val="00FB64A4"/>
    <w:rsid w:val="00FB7A37"/>
    <w:rsid w:val="00FB7ACC"/>
    <w:rsid w:val="00FB7B20"/>
    <w:rsid w:val="00FC0410"/>
    <w:rsid w:val="00FC0666"/>
    <w:rsid w:val="00FC0F10"/>
    <w:rsid w:val="00FC1002"/>
    <w:rsid w:val="00FC1AE4"/>
    <w:rsid w:val="00FC1CBD"/>
    <w:rsid w:val="00FC1E2B"/>
    <w:rsid w:val="00FC2336"/>
    <w:rsid w:val="00FC2610"/>
    <w:rsid w:val="00FC279B"/>
    <w:rsid w:val="00FC2828"/>
    <w:rsid w:val="00FC2924"/>
    <w:rsid w:val="00FC2A5D"/>
    <w:rsid w:val="00FC3161"/>
    <w:rsid w:val="00FC37D8"/>
    <w:rsid w:val="00FC3D14"/>
    <w:rsid w:val="00FC4059"/>
    <w:rsid w:val="00FC40F2"/>
    <w:rsid w:val="00FC4231"/>
    <w:rsid w:val="00FC4395"/>
    <w:rsid w:val="00FC4761"/>
    <w:rsid w:val="00FC47F7"/>
    <w:rsid w:val="00FC59C3"/>
    <w:rsid w:val="00FC6143"/>
    <w:rsid w:val="00FC6729"/>
    <w:rsid w:val="00FC680A"/>
    <w:rsid w:val="00FC6C7B"/>
    <w:rsid w:val="00FC76A4"/>
    <w:rsid w:val="00FC7BFF"/>
    <w:rsid w:val="00FD0201"/>
    <w:rsid w:val="00FD07EC"/>
    <w:rsid w:val="00FD0EB0"/>
    <w:rsid w:val="00FD1180"/>
    <w:rsid w:val="00FD1194"/>
    <w:rsid w:val="00FD12B8"/>
    <w:rsid w:val="00FD17ED"/>
    <w:rsid w:val="00FD1B2A"/>
    <w:rsid w:val="00FD1BEF"/>
    <w:rsid w:val="00FD1CB3"/>
    <w:rsid w:val="00FD2432"/>
    <w:rsid w:val="00FD2660"/>
    <w:rsid w:val="00FD2744"/>
    <w:rsid w:val="00FD2B31"/>
    <w:rsid w:val="00FD2EAC"/>
    <w:rsid w:val="00FD327B"/>
    <w:rsid w:val="00FD3A4B"/>
    <w:rsid w:val="00FD3A88"/>
    <w:rsid w:val="00FD5167"/>
    <w:rsid w:val="00FD53E6"/>
    <w:rsid w:val="00FD5C60"/>
    <w:rsid w:val="00FD7B69"/>
    <w:rsid w:val="00FE00B4"/>
    <w:rsid w:val="00FE029D"/>
    <w:rsid w:val="00FE0519"/>
    <w:rsid w:val="00FE0753"/>
    <w:rsid w:val="00FE0A9D"/>
    <w:rsid w:val="00FE0C36"/>
    <w:rsid w:val="00FE116A"/>
    <w:rsid w:val="00FE1BEF"/>
    <w:rsid w:val="00FE1C0D"/>
    <w:rsid w:val="00FE1CF8"/>
    <w:rsid w:val="00FE1FCC"/>
    <w:rsid w:val="00FE2369"/>
    <w:rsid w:val="00FE2A43"/>
    <w:rsid w:val="00FE3554"/>
    <w:rsid w:val="00FE3568"/>
    <w:rsid w:val="00FE3DF1"/>
    <w:rsid w:val="00FE48F8"/>
    <w:rsid w:val="00FE4A87"/>
    <w:rsid w:val="00FE54D9"/>
    <w:rsid w:val="00FE56B8"/>
    <w:rsid w:val="00FE5801"/>
    <w:rsid w:val="00FE659E"/>
    <w:rsid w:val="00FE6B3B"/>
    <w:rsid w:val="00FE72C7"/>
    <w:rsid w:val="00FE7A81"/>
    <w:rsid w:val="00FE7B6A"/>
    <w:rsid w:val="00FF04E2"/>
    <w:rsid w:val="00FF0B17"/>
    <w:rsid w:val="00FF1331"/>
    <w:rsid w:val="00FF18A2"/>
    <w:rsid w:val="00FF19F0"/>
    <w:rsid w:val="00FF1B3F"/>
    <w:rsid w:val="00FF1F5A"/>
    <w:rsid w:val="00FF3A59"/>
    <w:rsid w:val="00FF3B12"/>
    <w:rsid w:val="00FF3CA8"/>
    <w:rsid w:val="00FF44A5"/>
    <w:rsid w:val="00FF4A84"/>
    <w:rsid w:val="00FF4C98"/>
    <w:rsid w:val="00FF56E2"/>
    <w:rsid w:val="00FF5BB4"/>
    <w:rsid w:val="00FF63ED"/>
    <w:rsid w:val="00FF647B"/>
    <w:rsid w:val="00FF6497"/>
    <w:rsid w:val="00FF6B80"/>
    <w:rsid w:val="00FF6EEA"/>
    <w:rsid w:val="00FF6F2D"/>
    <w:rsid w:val="00FF7074"/>
    <w:rsid w:val="00FF721C"/>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4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0DC8"/>
    <w:pPr>
      <w:jc w:val="both"/>
    </w:pPr>
    <w:rPr>
      <w:rFonts w:ascii="Verdana" w:hAnsi="Verdana"/>
      <w:szCs w:val="24"/>
      <w:lang w:val="nl-NL" w:eastAsia="nl-NL"/>
    </w:rPr>
  </w:style>
  <w:style w:type="paragraph" w:styleId="Kop1">
    <w:name w:val="heading 1"/>
    <w:basedOn w:val="Standaard"/>
    <w:next w:val="Standaard"/>
    <w:link w:val="Kop1Char"/>
    <w:qFormat/>
    <w:rsid w:val="0053513C"/>
    <w:pPr>
      <w:keepNext/>
      <w:numPr>
        <w:numId w:val="1"/>
      </w:numPr>
      <w:spacing w:before="3600" w:after="60"/>
      <w:jc w:val="right"/>
      <w:outlineLvl w:val="0"/>
    </w:pPr>
    <w:rPr>
      <w:rFonts w:ascii="Arial" w:hAnsi="Arial" w:cs="Arial"/>
      <w:b/>
      <w:bCs/>
      <w:kern w:val="32"/>
      <w:sz w:val="48"/>
      <w:szCs w:val="48"/>
      <w:lang w:val="fr-BE"/>
    </w:rPr>
  </w:style>
  <w:style w:type="paragraph" w:styleId="Kop2">
    <w:name w:val="heading 2"/>
    <w:basedOn w:val="Standaard"/>
    <w:next w:val="Standaard"/>
    <w:link w:val="Kop2Char"/>
    <w:qFormat/>
    <w:rsid w:val="00A70AF4"/>
    <w:pPr>
      <w:keepNext/>
      <w:numPr>
        <w:ilvl w:val="1"/>
        <w:numId w:val="1"/>
      </w:numPr>
      <w:pBdr>
        <w:top w:val="single" w:sz="4" w:space="6" w:color="auto"/>
        <w:bottom w:val="single" w:sz="4" w:space="6" w:color="auto"/>
      </w:pBdr>
      <w:spacing w:before="480" w:after="240"/>
      <w:jc w:val="left"/>
      <w:outlineLvl w:val="1"/>
    </w:pPr>
    <w:rPr>
      <w:rFonts w:ascii="Arial" w:hAnsi="Arial" w:cs="Arial"/>
      <w:b/>
      <w:bCs/>
      <w:i/>
      <w:iCs/>
      <w:sz w:val="36"/>
      <w:szCs w:val="36"/>
      <w:lang w:val="fr-BE"/>
    </w:rPr>
  </w:style>
  <w:style w:type="paragraph" w:styleId="Kop3">
    <w:name w:val="heading 3"/>
    <w:basedOn w:val="Standaard"/>
    <w:next w:val="Standaard"/>
    <w:link w:val="Kop3Char"/>
    <w:qFormat/>
    <w:rsid w:val="005A6F16"/>
    <w:pPr>
      <w:keepNext/>
      <w:numPr>
        <w:ilvl w:val="2"/>
        <w:numId w:val="1"/>
      </w:numPr>
      <w:tabs>
        <w:tab w:val="clear" w:pos="9651"/>
      </w:tabs>
      <w:spacing w:before="120" w:after="120"/>
      <w:ind w:left="851" w:hanging="709"/>
      <w:outlineLvl w:val="2"/>
    </w:pPr>
    <w:rPr>
      <w:rFonts w:ascii="Arial" w:hAnsi="Arial" w:cs="Arial"/>
      <w:b/>
      <w:bCs/>
      <w:sz w:val="26"/>
      <w:szCs w:val="26"/>
      <w:lang w:val="fr-BE"/>
    </w:rPr>
  </w:style>
  <w:style w:type="paragraph" w:styleId="Kop4">
    <w:name w:val="heading 4"/>
    <w:basedOn w:val="Standaard"/>
    <w:next w:val="Standaard"/>
    <w:qFormat/>
    <w:rsid w:val="00756C4C"/>
    <w:pPr>
      <w:keepNext/>
      <w:numPr>
        <w:ilvl w:val="3"/>
        <w:numId w:val="1"/>
      </w:numPr>
      <w:spacing w:before="240" w:after="60"/>
      <w:outlineLvl w:val="3"/>
    </w:pPr>
    <w:rPr>
      <w:b/>
      <w:bCs/>
      <w:sz w:val="28"/>
      <w:szCs w:val="28"/>
    </w:rPr>
  </w:style>
  <w:style w:type="paragraph" w:styleId="Kop5">
    <w:name w:val="heading 5"/>
    <w:basedOn w:val="Standaard"/>
    <w:next w:val="Standaard"/>
    <w:qFormat/>
    <w:rsid w:val="00756C4C"/>
    <w:pPr>
      <w:numPr>
        <w:ilvl w:val="4"/>
        <w:numId w:val="1"/>
      </w:numPr>
      <w:spacing w:before="240" w:after="60"/>
      <w:outlineLvl w:val="4"/>
    </w:pPr>
    <w:rPr>
      <w:b/>
      <w:bCs/>
      <w:i/>
      <w:iCs/>
      <w:sz w:val="26"/>
      <w:szCs w:val="26"/>
    </w:rPr>
  </w:style>
  <w:style w:type="paragraph" w:styleId="Kop6">
    <w:name w:val="heading 6"/>
    <w:basedOn w:val="Standaard"/>
    <w:next w:val="Standaard"/>
    <w:qFormat/>
    <w:rsid w:val="00756C4C"/>
    <w:pPr>
      <w:numPr>
        <w:ilvl w:val="5"/>
        <w:numId w:val="1"/>
      </w:numPr>
      <w:spacing w:before="240" w:after="60"/>
      <w:outlineLvl w:val="5"/>
    </w:pPr>
    <w:rPr>
      <w:b/>
      <w:bCs/>
      <w:sz w:val="22"/>
      <w:szCs w:val="22"/>
    </w:rPr>
  </w:style>
  <w:style w:type="paragraph" w:styleId="Kop7">
    <w:name w:val="heading 7"/>
    <w:basedOn w:val="Standaard"/>
    <w:next w:val="Standaard"/>
    <w:qFormat/>
    <w:rsid w:val="00756C4C"/>
    <w:pPr>
      <w:numPr>
        <w:ilvl w:val="6"/>
        <w:numId w:val="1"/>
      </w:numPr>
      <w:spacing w:before="240" w:after="60"/>
      <w:outlineLvl w:val="6"/>
    </w:pPr>
  </w:style>
  <w:style w:type="paragraph" w:styleId="Kop8">
    <w:name w:val="heading 8"/>
    <w:basedOn w:val="Standaard"/>
    <w:next w:val="Standaard"/>
    <w:qFormat/>
    <w:rsid w:val="00756C4C"/>
    <w:pPr>
      <w:numPr>
        <w:ilvl w:val="7"/>
        <w:numId w:val="1"/>
      </w:numPr>
      <w:spacing w:before="240" w:after="60"/>
      <w:outlineLvl w:val="7"/>
    </w:pPr>
    <w:rPr>
      <w:i/>
      <w:iCs/>
    </w:rPr>
  </w:style>
  <w:style w:type="paragraph" w:styleId="Kop9">
    <w:name w:val="heading 9"/>
    <w:basedOn w:val="Standaard"/>
    <w:next w:val="Standaard"/>
    <w:qFormat/>
    <w:rsid w:val="00756C4C"/>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insprongbolleke"/>
    <w:link w:val="UItlegopsommingChar"/>
    <w:autoRedefine/>
    <w:rsid w:val="00B84102"/>
    <w:rPr>
      <w:iCs/>
    </w:rPr>
  </w:style>
  <w:style w:type="character" w:customStyle="1" w:styleId="UItlegopsommingChar">
    <w:name w:val="UItleg opsomming Char"/>
    <w:link w:val="UItlegopsomming"/>
    <w:rsid w:val="00B84102"/>
    <w:rPr>
      <w:rFonts w:ascii="Verdana" w:hAnsi="Verdana" w:cs="Times-Roman"/>
      <w:i/>
      <w:iCs/>
      <w:sz w:val="18"/>
      <w:szCs w:val="18"/>
      <w:lang w:val="fr-FR" w:eastAsia="nl-NL"/>
    </w:rPr>
  </w:style>
  <w:style w:type="paragraph" w:styleId="Inhopg1">
    <w:name w:val="toc 1"/>
    <w:basedOn w:val="Standaard"/>
    <w:next w:val="Standaard"/>
    <w:autoRedefine/>
    <w:uiPriority w:val="39"/>
    <w:rsid w:val="009D3855"/>
    <w:pPr>
      <w:tabs>
        <w:tab w:val="left" w:pos="426"/>
        <w:tab w:val="right" w:leader="dot" w:pos="9060"/>
      </w:tabs>
      <w:spacing w:before="240" w:after="120"/>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D959B3"/>
    <w:pPr>
      <w:numPr>
        <w:numId w:val="2"/>
      </w:numPr>
      <w:spacing w:before="120" w:after="120"/>
    </w:pPr>
    <w:rPr>
      <w:lang w:val="fr-BE"/>
    </w:rPr>
  </w:style>
  <w:style w:type="paragraph" w:customStyle="1" w:styleId="vraag0">
    <w:name w:val="vraag"/>
    <w:basedOn w:val="Standaard"/>
    <w:link w:val="vraagChar0"/>
    <w:autoRedefine/>
    <w:rsid w:val="0009380C"/>
    <w:pPr>
      <w:spacing w:before="120" w:after="120"/>
      <w:ind w:left="993"/>
    </w:pPr>
    <w:rPr>
      <w:i/>
      <w:sz w:val="18"/>
      <w:szCs w:val="18"/>
      <w:lang w:val="fr-BE"/>
    </w:r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paragraph" w:customStyle="1" w:styleId="Titelvragenblok">
    <w:name w:val="Titel vragenblok"/>
    <w:basedOn w:val="Standaard"/>
    <w:rsid w:val="00113A4D"/>
    <w:pPr>
      <w:spacing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0E5DB1"/>
    <w:rPr>
      <w:b/>
      <w:bCs/>
    </w:rPr>
  </w:style>
  <w:style w:type="paragraph" w:styleId="Voetnoottekst">
    <w:name w:val="footnote text"/>
    <w:basedOn w:val="Standaard"/>
    <w:link w:val="VoetnoottekstChar"/>
    <w:semiHidden/>
    <w:rsid w:val="001B6E0B"/>
    <w:rPr>
      <w:szCs w:val="20"/>
    </w:rPr>
  </w:style>
  <w:style w:type="character" w:customStyle="1" w:styleId="KoptekstChar">
    <w:name w:val="Koptekst Char"/>
    <w:link w:val="Koptekst"/>
    <w:semiHidden/>
    <w:locked/>
    <w:rsid w:val="006F2208"/>
    <w:rPr>
      <w:rFonts w:ascii="Verdana" w:hAnsi="Verdana"/>
      <w:szCs w:val="24"/>
      <w:lang w:val="nl-NL" w:eastAsia="nl-NL" w:bidi="ar-SA"/>
    </w:rPr>
  </w:style>
  <w:style w:type="paragraph" w:styleId="Bijschrift">
    <w:name w:val="caption"/>
    <w:basedOn w:val="Standaard"/>
    <w:next w:val="Standaard"/>
    <w:qFormat/>
    <w:rsid w:val="00664D3D"/>
    <w:pPr>
      <w:spacing w:after="120" w:line="281" w:lineRule="auto"/>
      <w:ind w:left="567"/>
      <w:jc w:val="left"/>
    </w:pPr>
    <w:rPr>
      <w:noProof/>
      <w:szCs w:val="20"/>
      <w:lang w:val="nl" w:eastAsia="en-GB"/>
    </w:rPr>
  </w:style>
  <w:style w:type="character" w:styleId="Zwaar">
    <w:name w:val="Strong"/>
    <w:qFormat/>
    <w:rsid w:val="00664D3D"/>
    <w:rPr>
      <w:b/>
      <w:bCs/>
    </w:rPr>
  </w:style>
  <w:style w:type="character" w:customStyle="1" w:styleId="E-mailStijl411">
    <w:name w:val="E-mailStijl411"/>
    <w:semiHidden/>
    <w:rsid w:val="00664D3D"/>
    <w:rPr>
      <w:rFonts w:ascii="Arial" w:hAnsi="Arial" w:cs="Arial"/>
      <w:color w:val="auto"/>
      <w:sz w:val="20"/>
      <w:szCs w:val="20"/>
    </w:rPr>
  </w:style>
  <w:style w:type="paragraph" w:customStyle="1" w:styleId="Opsomming1">
    <w:name w:val="Opsomming1"/>
    <w:basedOn w:val="Lijstalinea"/>
    <w:link w:val="Opsomming1Char"/>
    <w:rsid w:val="00241554"/>
    <w:pPr>
      <w:numPr>
        <w:numId w:val="18"/>
      </w:numPr>
      <w:ind w:left="709" w:hanging="283"/>
    </w:pPr>
    <w:rPr>
      <w:lang w:val="fr-BE"/>
    </w:rPr>
  </w:style>
  <w:style w:type="paragraph" w:customStyle="1" w:styleId="Opsommingsteken2">
    <w:name w:val="Opsommingsteken2"/>
    <w:basedOn w:val="Lijstalinea"/>
    <w:rsid w:val="00241554"/>
    <w:pPr>
      <w:numPr>
        <w:ilvl w:val="1"/>
        <w:numId w:val="17"/>
      </w:numPr>
      <w:tabs>
        <w:tab w:val="clear" w:pos="1440"/>
        <w:tab w:val="num" w:pos="1560"/>
      </w:tabs>
      <w:ind w:left="1560" w:hanging="426"/>
    </w:pPr>
    <w:rPr>
      <w:lang w:val="fr-BE"/>
    </w:rPr>
  </w:style>
  <w:style w:type="paragraph" w:customStyle="1" w:styleId="Toelichtingvraag">
    <w:name w:val="Toelichting vraag"/>
    <w:basedOn w:val="vraag0"/>
    <w:link w:val="ToelichtingvraagChar"/>
    <w:rsid w:val="00782DAE"/>
    <w:rPr>
      <w:rFonts w:cs="Times-Roman"/>
      <w:lang w:val="nl-NL"/>
    </w:rPr>
  </w:style>
  <w:style w:type="paragraph" w:customStyle="1" w:styleId="Toelichtingscenario">
    <w:name w:val="Toelichting scenario"/>
    <w:basedOn w:val="Standaard"/>
    <w:rsid w:val="007B516D"/>
    <w:rPr>
      <w:sz w:val="18"/>
      <w:szCs w:val="18"/>
      <w:lang w:val="fr-FR"/>
    </w:rPr>
  </w:style>
  <w:style w:type="paragraph" w:customStyle="1" w:styleId="toelichtingvraaginsprong1">
    <w:name w:val="toelichting vraag insprong 1"/>
    <w:basedOn w:val="insprong2bolleke"/>
    <w:link w:val="toelichtingvraaginsprong1Char"/>
    <w:rsid w:val="0012341A"/>
  </w:style>
  <w:style w:type="character" w:customStyle="1" w:styleId="VraagChar">
    <w:name w:val="Vraag Char"/>
    <w:link w:val="Vraag"/>
    <w:rsid w:val="00D959B3"/>
    <w:rPr>
      <w:rFonts w:ascii="Verdana" w:hAnsi="Verdana"/>
      <w:szCs w:val="24"/>
      <w:lang w:val="fr-BE" w:eastAsia="nl-NL"/>
    </w:rPr>
  </w:style>
  <w:style w:type="character" w:customStyle="1" w:styleId="vraagChar0">
    <w:name w:val="vraag Char"/>
    <w:link w:val="vraag0"/>
    <w:rsid w:val="0009380C"/>
    <w:rPr>
      <w:rFonts w:ascii="Verdana" w:hAnsi="Verdana"/>
      <w:i/>
      <w:sz w:val="18"/>
      <w:szCs w:val="18"/>
      <w:lang w:val="fr-BE" w:eastAsia="nl-NL"/>
    </w:rPr>
  </w:style>
  <w:style w:type="character" w:customStyle="1" w:styleId="ToelichtingvraagChar">
    <w:name w:val="Toelichting vraag Char"/>
    <w:link w:val="Toelichtingvraag"/>
    <w:rsid w:val="00782DAE"/>
    <w:rPr>
      <w:rFonts w:ascii="Verdana" w:hAnsi="Verdana" w:cs="Times-Roman"/>
      <w:i/>
      <w:sz w:val="18"/>
      <w:szCs w:val="18"/>
      <w:lang w:val="nl-NL" w:eastAsia="nl-NL" w:bidi="ar-SA"/>
    </w:rPr>
  </w:style>
  <w:style w:type="character" w:customStyle="1" w:styleId="toelichtingvraaginsprong1Char">
    <w:name w:val="toelichting vraag insprong 1 Char"/>
    <w:link w:val="toelichtingvraaginsprong1"/>
    <w:rsid w:val="0012341A"/>
    <w:rPr>
      <w:rFonts w:ascii="Verdana" w:hAnsi="Verdana" w:cs="Times-Roman"/>
      <w:i/>
      <w:sz w:val="18"/>
      <w:szCs w:val="18"/>
      <w:lang w:val="fr-BE" w:eastAsia="nl-NL"/>
    </w:rPr>
  </w:style>
  <w:style w:type="paragraph" w:styleId="Documentstructuur">
    <w:name w:val="Document Map"/>
    <w:basedOn w:val="Standaard"/>
    <w:semiHidden/>
    <w:rsid w:val="00A629DC"/>
    <w:pPr>
      <w:shd w:val="clear" w:color="auto" w:fill="000080"/>
    </w:pPr>
    <w:rPr>
      <w:rFonts w:ascii="Tahoma" w:hAnsi="Tahoma" w:cs="Tahoma"/>
      <w:szCs w:val="20"/>
    </w:rPr>
  </w:style>
  <w:style w:type="paragraph" w:customStyle="1" w:styleId="insprongbolleke">
    <w:name w:val="insprong bolleke"/>
    <w:basedOn w:val="Toelichtingvraag"/>
    <w:rsid w:val="00BA64E0"/>
    <w:pPr>
      <w:ind w:left="0"/>
    </w:pPr>
    <w:rPr>
      <w:lang w:val="fr-FR"/>
    </w:rPr>
  </w:style>
  <w:style w:type="character" w:customStyle="1" w:styleId="shorttext">
    <w:name w:val="short_text"/>
    <w:basedOn w:val="Standaardalinea-lettertype"/>
    <w:rsid w:val="00A14E32"/>
  </w:style>
  <w:style w:type="character" w:customStyle="1" w:styleId="hps">
    <w:name w:val="hps"/>
    <w:basedOn w:val="Standaardalinea-lettertype"/>
    <w:rsid w:val="00A14E32"/>
  </w:style>
  <w:style w:type="paragraph" w:customStyle="1" w:styleId="Opsomming">
    <w:name w:val="Opsomming"/>
    <w:basedOn w:val="Standaard"/>
    <w:rsid w:val="003F5A6C"/>
    <w:pPr>
      <w:numPr>
        <w:numId w:val="7"/>
      </w:numPr>
      <w:spacing w:before="60"/>
      <w:jc w:val="left"/>
    </w:pPr>
    <w:rPr>
      <w:lang w:val="en-GB"/>
    </w:rPr>
  </w:style>
  <w:style w:type="table" w:customStyle="1" w:styleId="Tabelraster3">
    <w:name w:val="Tabelraster3"/>
    <w:basedOn w:val="Standaardtabel"/>
    <w:next w:val="Tabelraster"/>
    <w:rsid w:val="00176FA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A46F20"/>
    <w:pPr>
      <w:ind w:left="720"/>
      <w:jc w:val="left"/>
    </w:pPr>
    <w:rPr>
      <w:rFonts w:eastAsia="Calibri"/>
    </w:rPr>
  </w:style>
  <w:style w:type="character" w:customStyle="1" w:styleId="E-mailStijl581">
    <w:name w:val="E-mailStijl581"/>
    <w:semiHidden/>
    <w:rsid w:val="00E04787"/>
    <w:rPr>
      <w:rFonts w:ascii="Arial" w:hAnsi="Arial" w:cs="Arial"/>
      <w:color w:val="auto"/>
      <w:sz w:val="20"/>
      <w:szCs w:val="20"/>
    </w:rPr>
  </w:style>
  <w:style w:type="paragraph" w:customStyle="1" w:styleId="insprong2bolleke">
    <w:name w:val="insprong 2 bolleke"/>
    <w:basedOn w:val="insprongbolleke"/>
    <w:rsid w:val="00D438A3"/>
    <w:pPr>
      <w:numPr>
        <w:numId w:val="6"/>
      </w:numPr>
    </w:pPr>
    <w:rPr>
      <w:lang w:val="fr-BE"/>
    </w:rPr>
  </w:style>
  <w:style w:type="character" w:customStyle="1" w:styleId="Opsomming1Char">
    <w:name w:val="Opsomming1 Char"/>
    <w:link w:val="Opsomming1"/>
    <w:rsid w:val="00241554"/>
    <w:rPr>
      <w:rFonts w:ascii="Verdana" w:hAnsi="Verdana"/>
      <w:szCs w:val="24"/>
      <w:lang w:val="fr-BE" w:eastAsia="nl-NL"/>
    </w:rPr>
  </w:style>
  <w:style w:type="character" w:customStyle="1" w:styleId="wordentry1">
    <w:name w:val="wordentry1"/>
    <w:basedOn w:val="Standaardalinea-lettertype"/>
    <w:rsid w:val="00914B55"/>
  </w:style>
  <w:style w:type="paragraph" w:styleId="Revisie">
    <w:name w:val="Revision"/>
    <w:hidden/>
    <w:uiPriority w:val="99"/>
    <w:semiHidden/>
    <w:rsid w:val="00D308E7"/>
    <w:rPr>
      <w:rFonts w:ascii="Verdana" w:hAnsi="Verdana"/>
      <w:szCs w:val="24"/>
      <w:lang w:val="nl-NL" w:eastAsia="nl-NL"/>
    </w:rPr>
  </w:style>
  <w:style w:type="character" w:customStyle="1" w:styleId="VoetnoottekstChar">
    <w:name w:val="Voetnoottekst Char"/>
    <w:basedOn w:val="Standaardalinea-lettertype"/>
    <w:link w:val="Voetnoottekst"/>
    <w:semiHidden/>
    <w:rsid w:val="00E4446F"/>
    <w:rPr>
      <w:rFonts w:ascii="Verdana" w:hAnsi="Verdana"/>
      <w:lang w:val="nl-NL" w:eastAsia="nl-NL"/>
    </w:rPr>
  </w:style>
  <w:style w:type="character" w:customStyle="1" w:styleId="st">
    <w:name w:val="st"/>
    <w:basedOn w:val="Standaardalinea-lettertype"/>
    <w:rsid w:val="00E4446F"/>
  </w:style>
  <w:style w:type="character" w:customStyle="1" w:styleId="Kop3Char">
    <w:name w:val="Kop 3 Char"/>
    <w:basedOn w:val="Standaardalinea-lettertype"/>
    <w:link w:val="Kop3"/>
    <w:rsid w:val="005A6F16"/>
    <w:rPr>
      <w:rFonts w:ascii="Arial" w:hAnsi="Arial" w:cs="Arial"/>
      <w:b/>
      <w:bCs/>
      <w:sz w:val="26"/>
      <w:szCs w:val="26"/>
      <w:lang w:val="fr-BE" w:eastAsia="nl-NL"/>
    </w:rPr>
  </w:style>
  <w:style w:type="character" w:customStyle="1" w:styleId="Kop2Char">
    <w:name w:val="Kop 2 Char"/>
    <w:basedOn w:val="Standaardalinea-lettertype"/>
    <w:link w:val="Kop2"/>
    <w:rsid w:val="00A70AF4"/>
    <w:rPr>
      <w:rFonts w:ascii="Arial" w:hAnsi="Arial" w:cs="Arial"/>
      <w:b/>
      <w:bCs/>
      <w:i/>
      <w:iCs/>
      <w:sz w:val="36"/>
      <w:szCs w:val="36"/>
      <w:lang w:val="fr-BE" w:eastAsia="nl-NL"/>
    </w:rPr>
  </w:style>
  <w:style w:type="paragraph" w:customStyle="1" w:styleId="toelichtingvraaginsprong2">
    <w:name w:val="toelichting vraag insprong 2"/>
    <w:basedOn w:val="toelichtingvraaginsprong1"/>
    <w:rsid w:val="008F6553"/>
    <w:pPr>
      <w:numPr>
        <w:numId w:val="10"/>
      </w:numPr>
      <w:tabs>
        <w:tab w:val="clear" w:pos="2484"/>
        <w:tab w:val="num" w:pos="360"/>
      </w:tabs>
      <w:ind w:left="2552" w:hanging="428"/>
    </w:pPr>
    <w:rPr>
      <w:rFonts w:cs="Times New Roman"/>
    </w:rPr>
  </w:style>
  <w:style w:type="character" w:customStyle="1" w:styleId="TekstopmerkingChar">
    <w:name w:val="Tekst opmerking Char"/>
    <w:basedOn w:val="Standaardalinea-lettertype"/>
    <w:link w:val="Tekstopmerking"/>
    <w:semiHidden/>
    <w:rsid w:val="00703785"/>
    <w:rPr>
      <w:rFonts w:ascii="Verdana" w:hAnsi="Verdana"/>
      <w:lang w:val="nl-NL" w:eastAsia="nl-NL"/>
    </w:rPr>
  </w:style>
  <w:style w:type="paragraph" w:styleId="Lijstopsomteken">
    <w:name w:val="List Bullet"/>
    <w:basedOn w:val="Standaard"/>
    <w:rsid w:val="009B5D9E"/>
    <w:pPr>
      <w:numPr>
        <w:numId w:val="16"/>
      </w:numPr>
      <w:contextualSpacing/>
    </w:pPr>
  </w:style>
  <w:style w:type="paragraph" w:styleId="Lijstalinea">
    <w:name w:val="List Paragraph"/>
    <w:basedOn w:val="Standaard"/>
    <w:uiPriority w:val="34"/>
    <w:qFormat/>
    <w:rsid w:val="00C907B1"/>
    <w:pPr>
      <w:ind w:left="720"/>
      <w:contextualSpacing/>
    </w:pPr>
  </w:style>
  <w:style w:type="character" w:customStyle="1" w:styleId="Kop1Char">
    <w:name w:val="Kop 1 Char"/>
    <w:basedOn w:val="Standaardalinea-lettertype"/>
    <w:link w:val="Kop1"/>
    <w:rsid w:val="0053513C"/>
    <w:rPr>
      <w:rFonts w:ascii="Arial" w:hAnsi="Arial" w:cs="Arial"/>
      <w:b/>
      <w:bCs/>
      <w:kern w:val="32"/>
      <w:sz w:val="48"/>
      <w:szCs w:val="48"/>
      <w:lang w:val="fr-BE" w:eastAsia="nl-NL"/>
    </w:rPr>
  </w:style>
  <w:style w:type="paragraph" w:customStyle="1" w:styleId="Stijltoelichting4">
    <w:name w:val="Stijl_toelichting4"/>
    <w:basedOn w:val="Kop4"/>
    <w:qFormat/>
    <w:rsid w:val="005723EB"/>
    <w:pPr>
      <w:keepNext w:val="0"/>
      <w:numPr>
        <w:ilvl w:val="0"/>
        <w:numId w:val="0"/>
      </w:numPr>
      <w:spacing w:before="0" w:after="0"/>
    </w:pPr>
    <w:rPr>
      <w:b w:val="0"/>
      <w:bCs w:val="0"/>
      <w:sz w:val="20"/>
      <w:szCs w:val="24"/>
      <w:u w:val="single"/>
    </w:rPr>
  </w:style>
  <w:style w:type="paragraph" w:customStyle="1" w:styleId="StijlVraagVet">
    <w:name w:val="Stijl Vraag + Vet"/>
    <w:basedOn w:val="Vraag"/>
    <w:rsid w:val="006D0F96"/>
    <w:pPr>
      <w:tabs>
        <w:tab w:val="clear" w:pos="3686"/>
        <w:tab w:val="left" w:pos="851"/>
      </w:tabs>
      <w:ind w:left="1134"/>
    </w:pPr>
    <w:rPr>
      <w:b/>
      <w:bCs/>
    </w:rPr>
  </w:style>
  <w:style w:type="paragraph" w:customStyle="1" w:styleId="Stijlvraag10ptVetNietCursief">
    <w:name w:val="Stijl vraag + 10 pt Vet Niet Cursief"/>
    <w:basedOn w:val="vraag0"/>
    <w:rsid w:val="002639CA"/>
    <w:pPr>
      <w:tabs>
        <w:tab w:val="left" w:pos="624"/>
      </w:tabs>
      <w:ind w:left="624"/>
    </w:pPr>
    <w:rPr>
      <w:b/>
      <w:bCs/>
      <w:i w:val="0"/>
      <w:sz w:val="20"/>
    </w:rPr>
  </w:style>
  <w:style w:type="paragraph" w:customStyle="1" w:styleId="Stijlvraag10ptVetNietCursief1">
    <w:name w:val="Stijl vraag + 10 pt Vet Niet Cursief1"/>
    <w:basedOn w:val="vraag0"/>
    <w:rsid w:val="002639CA"/>
    <w:pPr>
      <w:tabs>
        <w:tab w:val="left" w:pos="624"/>
      </w:tabs>
      <w:ind w:left="624"/>
    </w:pPr>
    <w:rPr>
      <w:b/>
      <w:bCs/>
      <w:i w:val="0"/>
      <w:sz w:val="20"/>
    </w:rPr>
  </w:style>
  <w:style w:type="paragraph" w:customStyle="1" w:styleId="Mesure">
    <w:name w:val="Mesure"/>
    <w:basedOn w:val="StijlVraagVet"/>
    <w:qFormat/>
    <w:rsid w:val="002E4DBC"/>
    <w:pPr>
      <w:tabs>
        <w:tab w:val="clear" w:pos="851"/>
        <w:tab w:val="left" w:pos="567"/>
      </w:tabs>
      <w:ind w:left="567"/>
    </w:pPr>
  </w:style>
  <w:style w:type="paragraph" w:customStyle="1" w:styleId="Maatregel">
    <w:name w:val="Maatregel"/>
    <w:basedOn w:val="vraag0"/>
    <w:qFormat/>
    <w:rsid w:val="00F01278"/>
    <w:pPr>
      <w:numPr>
        <w:numId w:val="3"/>
      </w:numPr>
    </w:pPr>
    <w:rPr>
      <w:b/>
      <w:bCs/>
      <w:i w:val="0"/>
      <w:sz w:val="20"/>
      <w:szCs w:val="24"/>
      <w:lang w:val="nl-BE"/>
    </w:rPr>
  </w:style>
  <w:style w:type="paragraph" w:customStyle="1" w:styleId="Mesure100">
    <w:name w:val="Mesure 100+"/>
    <w:basedOn w:val="Mesure"/>
    <w:qFormat/>
    <w:rsid w:val="00A86333"/>
    <w:pPr>
      <w:tabs>
        <w:tab w:val="left" w:pos="709"/>
      </w:tabs>
      <w:ind w:left="709" w:hanging="709"/>
    </w:pPr>
  </w:style>
  <w:style w:type="character" w:customStyle="1" w:styleId="apple-converted-space">
    <w:name w:val="apple-converted-space"/>
    <w:basedOn w:val="Standaardalinea-lettertype"/>
    <w:rsid w:val="002B00F3"/>
  </w:style>
  <w:style w:type="character" w:styleId="GevolgdeHyperlink">
    <w:name w:val="FollowedHyperlink"/>
    <w:basedOn w:val="Standaardalinea-lettertype"/>
    <w:rsid w:val="002B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984">
      <w:bodyDiv w:val="1"/>
      <w:marLeft w:val="0"/>
      <w:marRight w:val="0"/>
      <w:marTop w:val="0"/>
      <w:marBottom w:val="0"/>
      <w:divBdr>
        <w:top w:val="none" w:sz="0" w:space="0" w:color="auto"/>
        <w:left w:val="none" w:sz="0" w:space="0" w:color="auto"/>
        <w:bottom w:val="none" w:sz="0" w:space="0" w:color="auto"/>
        <w:right w:val="none" w:sz="0" w:space="0" w:color="auto"/>
      </w:divBdr>
      <w:divsChild>
        <w:div w:id="251936759">
          <w:marLeft w:val="0"/>
          <w:marRight w:val="0"/>
          <w:marTop w:val="0"/>
          <w:marBottom w:val="0"/>
          <w:divBdr>
            <w:top w:val="none" w:sz="0" w:space="0" w:color="auto"/>
            <w:left w:val="none" w:sz="0" w:space="0" w:color="auto"/>
            <w:bottom w:val="none" w:sz="0" w:space="0" w:color="auto"/>
            <w:right w:val="none" w:sz="0" w:space="0" w:color="auto"/>
          </w:divBdr>
          <w:divsChild>
            <w:div w:id="953750379">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sChild>
                    <w:div w:id="1439639296">
                      <w:marLeft w:val="0"/>
                      <w:marRight w:val="0"/>
                      <w:marTop w:val="0"/>
                      <w:marBottom w:val="0"/>
                      <w:divBdr>
                        <w:top w:val="none" w:sz="0" w:space="0" w:color="auto"/>
                        <w:left w:val="none" w:sz="0" w:space="0" w:color="auto"/>
                        <w:bottom w:val="none" w:sz="0" w:space="0" w:color="auto"/>
                        <w:right w:val="none" w:sz="0" w:space="0" w:color="auto"/>
                      </w:divBdr>
                      <w:divsChild>
                        <w:div w:id="1481072532">
                          <w:marLeft w:val="0"/>
                          <w:marRight w:val="0"/>
                          <w:marTop w:val="0"/>
                          <w:marBottom w:val="0"/>
                          <w:divBdr>
                            <w:top w:val="none" w:sz="0" w:space="0" w:color="auto"/>
                            <w:left w:val="none" w:sz="0" w:space="0" w:color="auto"/>
                            <w:bottom w:val="none" w:sz="0" w:space="0" w:color="auto"/>
                            <w:right w:val="none" w:sz="0" w:space="0" w:color="auto"/>
                          </w:divBdr>
                          <w:divsChild>
                            <w:div w:id="13278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122">
      <w:bodyDiv w:val="1"/>
      <w:marLeft w:val="0"/>
      <w:marRight w:val="0"/>
      <w:marTop w:val="0"/>
      <w:marBottom w:val="0"/>
      <w:divBdr>
        <w:top w:val="none" w:sz="0" w:space="0" w:color="auto"/>
        <w:left w:val="none" w:sz="0" w:space="0" w:color="auto"/>
        <w:bottom w:val="none" w:sz="0" w:space="0" w:color="auto"/>
        <w:right w:val="none" w:sz="0" w:space="0" w:color="auto"/>
      </w:divBdr>
    </w:div>
    <w:div w:id="154807577">
      <w:bodyDiv w:val="1"/>
      <w:marLeft w:val="0"/>
      <w:marRight w:val="0"/>
      <w:marTop w:val="0"/>
      <w:marBottom w:val="0"/>
      <w:divBdr>
        <w:top w:val="none" w:sz="0" w:space="0" w:color="auto"/>
        <w:left w:val="none" w:sz="0" w:space="0" w:color="auto"/>
        <w:bottom w:val="none" w:sz="0" w:space="0" w:color="auto"/>
        <w:right w:val="none" w:sz="0" w:space="0" w:color="auto"/>
      </w:divBdr>
      <w:divsChild>
        <w:div w:id="552156955">
          <w:marLeft w:val="0"/>
          <w:marRight w:val="0"/>
          <w:marTop w:val="0"/>
          <w:marBottom w:val="0"/>
          <w:divBdr>
            <w:top w:val="none" w:sz="0" w:space="0" w:color="auto"/>
            <w:left w:val="none" w:sz="0" w:space="0" w:color="auto"/>
            <w:bottom w:val="none" w:sz="0" w:space="0" w:color="auto"/>
            <w:right w:val="none" w:sz="0" w:space="0" w:color="auto"/>
          </w:divBdr>
          <w:divsChild>
            <w:div w:id="14233557">
              <w:marLeft w:val="0"/>
              <w:marRight w:val="0"/>
              <w:marTop w:val="0"/>
              <w:marBottom w:val="150"/>
              <w:divBdr>
                <w:top w:val="none" w:sz="0" w:space="0" w:color="auto"/>
                <w:left w:val="none" w:sz="0" w:space="0" w:color="auto"/>
                <w:bottom w:val="none" w:sz="0" w:space="0" w:color="auto"/>
                <w:right w:val="none" w:sz="0" w:space="0" w:color="auto"/>
              </w:divBdr>
              <w:divsChild>
                <w:div w:id="1894073922">
                  <w:marLeft w:val="0"/>
                  <w:marRight w:val="150"/>
                  <w:marTop w:val="0"/>
                  <w:marBottom w:val="0"/>
                  <w:divBdr>
                    <w:top w:val="single" w:sz="6" w:space="11" w:color="C0DDEB"/>
                    <w:left w:val="single" w:sz="6" w:space="8" w:color="C0DDEB"/>
                    <w:bottom w:val="single" w:sz="6" w:space="15" w:color="C0DDEB"/>
                    <w:right w:val="single" w:sz="6" w:space="8" w:color="C0DDEB"/>
                  </w:divBdr>
                  <w:divsChild>
                    <w:div w:id="1064990141">
                      <w:marLeft w:val="0"/>
                      <w:marRight w:val="0"/>
                      <w:marTop w:val="0"/>
                      <w:marBottom w:val="0"/>
                      <w:divBdr>
                        <w:top w:val="none" w:sz="0" w:space="0" w:color="auto"/>
                        <w:left w:val="none" w:sz="0" w:space="0" w:color="auto"/>
                        <w:bottom w:val="none" w:sz="0" w:space="0" w:color="auto"/>
                        <w:right w:val="none" w:sz="0" w:space="0" w:color="auto"/>
                      </w:divBdr>
                      <w:divsChild>
                        <w:div w:id="94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2116">
      <w:bodyDiv w:val="1"/>
      <w:marLeft w:val="0"/>
      <w:marRight w:val="0"/>
      <w:marTop w:val="0"/>
      <w:marBottom w:val="0"/>
      <w:divBdr>
        <w:top w:val="none" w:sz="0" w:space="0" w:color="auto"/>
        <w:left w:val="none" w:sz="0" w:space="0" w:color="auto"/>
        <w:bottom w:val="none" w:sz="0" w:space="0" w:color="auto"/>
        <w:right w:val="none" w:sz="0" w:space="0" w:color="auto"/>
      </w:divBdr>
    </w:div>
    <w:div w:id="177234832">
      <w:bodyDiv w:val="1"/>
      <w:marLeft w:val="0"/>
      <w:marRight w:val="0"/>
      <w:marTop w:val="0"/>
      <w:marBottom w:val="0"/>
      <w:divBdr>
        <w:top w:val="none" w:sz="0" w:space="0" w:color="auto"/>
        <w:left w:val="none" w:sz="0" w:space="0" w:color="auto"/>
        <w:bottom w:val="none" w:sz="0" w:space="0" w:color="auto"/>
        <w:right w:val="none" w:sz="0" w:space="0" w:color="auto"/>
      </w:divBdr>
    </w:div>
    <w:div w:id="229123992">
      <w:bodyDiv w:val="1"/>
      <w:marLeft w:val="0"/>
      <w:marRight w:val="0"/>
      <w:marTop w:val="0"/>
      <w:marBottom w:val="0"/>
      <w:divBdr>
        <w:top w:val="none" w:sz="0" w:space="0" w:color="auto"/>
        <w:left w:val="none" w:sz="0" w:space="0" w:color="auto"/>
        <w:bottom w:val="none" w:sz="0" w:space="0" w:color="auto"/>
        <w:right w:val="none" w:sz="0" w:space="0" w:color="auto"/>
      </w:divBdr>
    </w:div>
    <w:div w:id="233204440">
      <w:bodyDiv w:val="1"/>
      <w:marLeft w:val="0"/>
      <w:marRight w:val="0"/>
      <w:marTop w:val="0"/>
      <w:marBottom w:val="0"/>
      <w:divBdr>
        <w:top w:val="none" w:sz="0" w:space="0" w:color="auto"/>
        <w:left w:val="none" w:sz="0" w:space="0" w:color="auto"/>
        <w:bottom w:val="none" w:sz="0" w:space="0" w:color="auto"/>
        <w:right w:val="none" w:sz="0" w:space="0" w:color="auto"/>
      </w:divBdr>
    </w:div>
    <w:div w:id="331959379">
      <w:bodyDiv w:val="1"/>
      <w:marLeft w:val="0"/>
      <w:marRight w:val="0"/>
      <w:marTop w:val="0"/>
      <w:marBottom w:val="0"/>
      <w:divBdr>
        <w:top w:val="none" w:sz="0" w:space="0" w:color="auto"/>
        <w:left w:val="none" w:sz="0" w:space="0" w:color="auto"/>
        <w:bottom w:val="none" w:sz="0" w:space="0" w:color="auto"/>
        <w:right w:val="none" w:sz="0" w:space="0" w:color="auto"/>
      </w:divBdr>
    </w:div>
    <w:div w:id="336544294">
      <w:bodyDiv w:val="1"/>
      <w:marLeft w:val="0"/>
      <w:marRight w:val="0"/>
      <w:marTop w:val="0"/>
      <w:marBottom w:val="0"/>
      <w:divBdr>
        <w:top w:val="none" w:sz="0" w:space="0" w:color="auto"/>
        <w:left w:val="none" w:sz="0" w:space="0" w:color="auto"/>
        <w:bottom w:val="none" w:sz="0" w:space="0" w:color="auto"/>
        <w:right w:val="none" w:sz="0" w:space="0" w:color="auto"/>
      </w:divBdr>
    </w:div>
    <w:div w:id="384917565">
      <w:bodyDiv w:val="1"/>
      <w:marLeft w:val="0"/>
      <w:marRight w:val="0"/>
      <w:marTop w:val="0"/>
      <w:marBottom w:val="0"/>
      <w:divBdr>
        <w:top w:val="none" w:sz="0" w:space="0" w:color="auto"/>
        <w:left w:val="none" w:sz="0" w:space="0" w:color="auto"/>
        <w:bottom w:val="none" w:sz="0" w:space="0" w:color="auto"/>
        <w:right w:val="none" w:sz="0" w:space="0" w:color="auto"/>
      </w:divBdr>
    </w:div>
    <w:div w:id="432363406">
      <w:bodyDiv w:val="1"/>
      <w:marLeft w:val="0"/>
      <w:marRight w:val="0"/>
      <w:marTop w:val="0"/>
      <w:marBottom w:val="0"/>
      <w:divBdr>
        <w:top w:val="none" w:sz="0" w:space="0" w:color="auto"/>
        <w:left w:val="none" w:sz="0" w:space="0" w:color="auto"/>
        <w:bottom w:val="none" w:sz="0" w:space="0" w:color="auto"/>
        <w:right w:val="none" w:sz="0" w:space="0" w:color="auto"/>
      </w:divBdr>
      <w:divsChild>
        <w:div w:id="2058042072">
          <w:marLeft w:val="0"/>
          <w:marRight w:val="0"/>
          <w:marTop w:val="0"/>
          <w:marBottom w:val="0"/>
          <w:divBdr>
            <w:top w:val="none" w:sz="0" w:space="0" w:color="auto"/>
            <w:left w:val="none" w:sz="0" w:space="0" w:color="auto"/>
            <w:bottom w:val="none" w:sz="0" w:space="0" w:color="auto"/>
            <w:right w:val="none" w:sz="0" w:space="0" w:color="auto"/>
          </w:divBdr>
          <w:divsChild>
            <w:div w:id="1533611983">
              <w:marLeft w:val="0"/>
              <w:marRight w:val="0"/>
              <w:marTop w:val="0"/>
              <w:marBottom w:val="0"/>
              <w:divBdr>
                <w:top w:val="none" w:sz="0" w:space="0" w:color="auto"/>
                <w:left w:val="none" w:sz="0" w:space="0" w:color="auto"/>
                <w:bottom w:val="none" w:sz="0" w:space="0" w:color="auto"/>
                <w:right w:val="none" w:sz="0" w:space="0" w:color="auto"/>
              </w:divBdr>
              <w:divsChild>
                <w:div w:id="624433733">
                  <w:marLeft w:val="0"/>
                  <w:marRight w:val="0"/>
                  <w:marTop w:val="0"/>
                  <w:marBottom w:val="0"/>
                  <w:divBdr>
                    <w:top w:val="none" w:sz="0" w:space="0" w:color="auto"/>
                    <w:left w:val="none" w:sz="0" w:space="0" w:color="auto"/>
                    <w:bottom w:val="none" w:sz="0" w:space="0" w:color="auto"/>
                    <w:right w:val="none" w:sz="0" w:space="0" w:color="auto"/>
                  </w:divBdr>
                  <w:divsChild>
                    <w:div w:id="1285306696">
                      <w:marLeft w:val="0"/>
                      <w:marRight w:val="0"/>
                      <w:marTop w:val="0"/>
                      <w:marBottom w:val="0"/>
                      <w:divBdr>
                        <w:top w:val="none" w:sz="0" w:space="0" w:color="auto"/>
                        <w:left w:val="none" w:sz="0" w:space="0" w:color="auto"/>
                        <w:bottom w:val="none" w:sz="0" w:space="0" w:color="auto"/>
                        <w:right w:val="none" w:sz="0" w:space="0" w:color="auto"/>
                      </w:divBdr>
                      <w:divsChild>
                        <w:div w:id="1458181330">
                          <w:marLeft w:val="0"/>
                          <w:marRight w:val="0"/>
                          <w:marTop w:val="0"/>
                          <w:marBottom w:val="0"/>
                          <w:divBdr>
                            <w:top w:val="none" w:sz="0" w:space="0" w:color="auto"/>
                            <w:left w:val="none" w:sz="0" w:space="0" w:color="auto"/>
                            <w:bottom w:val="none" w:sz="0" w:space="0" w:color="auto"/>
                            <w:right w:val="none" w:sz="0" w:space="0" w:color="auto"/>
                          </w:divBdr>
                          <w:divsChild>
                            <w:div w:id="15523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9222">
      <w:bodyDiv w:val="1"/>
      <w:marLeft w:val="0"/>
      <w:marRight w:val="0"/>
      <w:marTop w:val="0"/>
      <w:marBottom w:val="0"/>
      <w:divBdr>
        <w:top w:val="none" w:sz="0" w:space="0" w:color="auto"/>
        <w:left w:val="none" w:sz="0" w:space="0" w:color="auto"/>
        <w:bottom w:val="none" w:sz="0" w:space="0" w:color="auto"/>
        <w:right w:val="none" w:sz="0" w:space="0" w:color="auto"/>
      </w:divBdr>
    </w:div>
    <w:div w:id="543981236">
      <w:bodyDiv w:val="1"/>
      <w:marLeft w:val="0"/>
      <w:marRight w:val="0"/>
      <w:marTop w:val="0"/>
      <w:marBottom w:val="0"/>
      <w:divBdr>
        <w:top w:val="none" w:sz="0" w:space="0" w:color="auto"/>
        <w:left w:val="none" w:sz="0" w:space="0" w:color="auto"/>
        <w:bottom w:val="none" w:sz="0" w:space="0" w:color="auto"/>
        <w:right w:val="none" w:sz="0" w:space="0" w:color="auto"/>
      </w:divBdr>
      <w:divsChild>
        <w:div w:id="1403335143">
          <w:marLeft w:val="0"/>
          <w:marRight w:val="0"/>
          <w:marTop w:val="0"/>
          <w:marBottom w:val="0"/>
          <w:divBdr>
            <w:top w:val="none" w:sz="0" w:space="0" w:color="auto"/>
            <w:left w:val="none" w:sz="0" w:space="0" w:color="auto"/>
            <w:bottom w:val="none" w:sz="0" w:space="0" w:color="auto"/>
            <w:right w:val="none" w:sz="0" w:space="0" w:color="auto"/>
          </w:divBdr>
        </w:div>
        <w:div w:id="1922446640">
          <w:marLeft w:val="0"/>
          <w:marRight w:val="0"/>
          <w:marTop w:val="0"/>
          <w:marBottom w:val="0"/>
          <w:divBdr>
            <w:top w:val="none" w:sz="0" w:space="0" w:color="auto"/>
            <w:left w:val="none" w:sz="0" w:space="0" w:color="auto"/>
            <w:bottom w:val="none" w:sz="0" w:space="0" w:color="auto"/>
            <w:right w:val="none" w:sz="0" w:space="0" w:color="auto"/>
          </w:divBdr>
        </w:div>
        <w:div w:id="283001498">
          <w:marLeft w:val="0"/>
          <w:marRight w:val="0"/>
          <w:marTop w:val="0"/>
          <w:marBottom w:val="0"/>
          <w:divBdr>
            <w:top w:val="none" w:sz="0" w:space="0" w:color="auto"/>
            <w:left w:val="none" w:sz="0" w:space="0" w:color="auto"/>
            <w:bottom w:val="none" w:sz="0" w:space="0" w:color="auto"/>
            <w:right w:val="none" w:sz="0" w:space="0" w:color="auto"/>
          </w:divBdr>
        </w:div>
      </w:divsChild>
    </w:div>
    <w:div w:id="740056737">
      <w:bodyDiv w:val="1"/>
      <w:marLeft w:val="0"/>
      <w:marRight w:val="0"/>
      <w:marTop w:val="0"/>
      <w:marBottom w:val="0"/>
      <w:divBdr>
        <w:top w:val="none" w:sz="0" w:space="0" w:color="auto"/>
        <w:left w:val="none" w:sz="0" w:space="0" w:color="auto"/>
        <w:bottom w:val="none" w:sz="0" w:space="0" w:color="auto"/>
        <w:right w:val="none" w:sz="0" w:space="0" w:color="auto"/>
      </w:divBdr>
      <w:divsChild>
        <w:div w:id="1579318011">
          <w:marLeft w:val="0"/>
          <w:marRight w:val="0"/>
          <w:marTop w:val="0"/>
          <w:marBottom w:val="0"/>
          <w:divBdr>
            <w:top w:val="none" w:sz="0" w:space="0" w:color="auto"/>
            <w:left w:val="none" w:sz="0" w:space="0" w:color="auto"/>
            <w:bottom w:val="none" w:sz="0" w:space="0" w:color="auto"/>
            <w:right w:val="none" w:sz="0" w:space="0" w:color="auto"/>
          </w:divBdr>
          <w:divsChild>
            <w:div w:id="1997025633">
              <w:marLeft w:val="0"/>
              <w:marRight w:val="0"/>
              <w:marTop w:val="0"/>
              <w:marBottom w:val="0"/>
              <w:divBdr>
                <w:top w:val="none" w:sz="0" w:space="0" w:color="auto"/>
                <w:left w:val="none" w:sz="0" w:space="0" w:color="auto"/>
                <w:bottom w:val="none" w:sz="0" w:space="0" w:color="auto"/>
                <w:right w:val="none" w:sz="0" w:space="0" w:color="auto"/>
              </w:divBdr>
              <w:divsChild>
                <w:div w:id="1070230872">
                  <w:marLeft w:val="0"/>
                  <w:marRight w:val="0"/>
                  <w:marTop w:val="0"/>
                  <w:marBottom w:val="0"/>
                  <w:divBdr>
                    <w:top w:val="none" w:sz="0" w:space="0" w:color="auto"/>
                    <w:left w:val="none" w:sz="0" w:space="0" w:color="auto"/>
                    <w:bottom w:val="none" w:sz="0" w:space="0" w:color="auto"/>
                    <w:right w:val="none" w:sz="0" w:space="0" w:color="auto"/>
                  </w:divBdr>
                  <w:divsChild>
                    <w:div w:id="425228595">
                      <w:marLeft w:val="0"/>
                      <w:marRight w:val="0"/>
                      <w:marTop w:val="0"/>
                      <w:marBottom w:val="0"/>
                      <w:divBdr>
                        <w:top w:val="none" w:sz="0" w:space="0" w:color="auto"/>
                        <w:left w:val="none" w:sz="0" w:space="0" w:color="auto"/>
                        <w:bottom w:val="none" w:sz="0" w:space="0" w:color="auto"/>
                        <w:right w:val="none" w:sz="0" w:space="0" w:color="auto"/>
                      </w:divBdr>
                      <w:divsChild>
                        <w:div w:id="429199555">
                          <w:marLeft w:val="0"/>
                          <w:marRight w:val="0"/>
                          <w:marTop w:val="0"/>
                          <w:marBottom w:val="0"/>
                          <w:divBdr>
                            <w:top w:val="none" w:sz="0" w:space="0" w:color="auto"/>
                            <w:left w:val="none" w:sz="0" w:space="0" w:color="auto"/>
                            <w:bottom w:val="none" w:sz="0" w:space="0" w:color="auto"/>
                            <w:right w:val="none" w:sz="0" w:space="0" w:color="auto"/>
                          </w:divBdr>
                          <w:divsChild>
                            <w:div w:id="14492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81800">
      <w:bodyDiv w:val="1"/>
      <w:marLeft w:val="0"/>
      <w:marRight w:val="0"/>
      <w:marTop w:val="0"/>
      <w:marBottom w:val="0"/>
      <w:divBdr>
        <w:top w:val="none" w:sz="0" w:space="0" w:color="auto"/>
        <w:left w:val="none" w:sz="0" w:space="0" w:color="auto"/>
        <w:bottom w:val="none" w:sz="0" w:space="0" w:color="auto"/>
        <w:right w:val="none" w:sz="0" w:space="0" w:color="auto"/>
      </w:divBdr>
    </w:div>
    <w:div w:id="766121803">
      <w:bodyDiv w:val="1"/>
      <w:marLeft w:val="0"/>
      <w:marRight w:val="0"/>
      <w:marTop w:val="0"/>
      <w:marBottom w:val="0"/>
      <w:divBdr>
        <w:top w:val="none" w:sz="0" w:space="0" w:color="auto"/>
        <w:left w:val="none" w:sz="0" w:space="0" w:color="auto"/>
        <w:bottom w:val="none" w:sz="0" w:space="0" w:color="auto"/>
        <w:right w:val="none" w:sz="0" w:space="0" w:color="auto"/>
      </w:divBdr>
    </w:div>
    <w:div w:id="776633874">
      <w:bodyDiv w:val="1"/>
      <w:marLeft w:val="0"/>
      <w:marRight w:val="0"/>
      <w:marTop w:val="0"/>
      <w:marBottom w:val="0"/>
      <w:divBdr>
        <w:top w:val="none" w:sz="0" w:space="0" w:color="auto"/>
        <w:left w:val="none" w:sz="0" w:space="0" w:color="auto"/>
        <w:bottom w:val="none" w:sz="0" w:space="0" w:color="auto"/>
        <w:right w:val="none" w:sz="0" w:space="0" w:color="auto"/>
      </w:divBdr>
    </w:div>
    <w:div w:id="785465636">
      <w:bodyDiv w:val="1"/>
      <w:marLeft w:val="0"/>
      <w:marRight w:val="0"/>
      <w:marTop w:val="0"/>
      <w:marBottom w:val="0"/>
      <w:divBdr>
        <w:top w:val="none" w:sz="0" w:space="0" w:color="auto"/>
        <w:left w:val="none" w:sz="0" w:space="0" w:color="auto"/>
        <w:bottom w:val="none" w:sz="0" w:space="0" w:color="auto"/>
        <w:right w:val="none" w:sz="0" w:space="0" w:color="auto"/>
      </w:divBdr>
      <w:divsChild>
        <w:div w:id="1461024741">
          <w:marLeft w:val="0"/>
          <w:marRight w:val="0"/>
          <w:marTop w:val="0"/>
          <w:marBottom w:val="0"/>
          <w:divBdr>
            <w:top w:val="none" w:sz="0" w:space="0" w:color="auto"/>
            <w:left w:val="none" w:sz="0" w:space="0" w:color="auto"/>
            <w:bottom w:val="none" w:sz="0" w:space="0" w:color="auto"/>
            <w:right w:val="none" w:sz="0" w:space="0" w:color="auto"/>
          </w:divBdr>
        </w:div>
        <w:div w:id="718896428">
          <w:marLeft w:val="0"/>
          <w:marRight w:val="0"/>
          <w:marTop w:val="0"/>
          <w:marBottom w:val="0"/>
          <w:divBdr>
            <w:top w:val="none" w:sz="0" w:space="0" w:color="auto"/>
            <w:left w:val="none" w:sz="0" w:space="0" w:color="auto"/>
            <w:bottom w:val="none" w:sz="0" w:space="0" w:color="auto"/>
            <w:right w:val="none" w:sz="0" w:space="0" w:color="auto"/>
          </w:divBdr>
        </w:div>
        <w:div w:id="818957972">
          <w:marLeft w:val="0"/>
          <w:marRight w:val="0"/>
          <w:marTop w:val="0"/>
          <w:marBottom w:val="0"/>
          <w:divBdr>
            <w:top w:val="none" w:sz="0" w:space="0" w:color="auto"/>
            <w:left w:val="none" w:sz="0" w:space="0" w:color="auto"/>
            <w:bottom w:val="none" w:sz="0" w:space="0" w:color="auto"/>
            <w:right w:val="none" w:sz="0" w:space="0" w:color="auto"/>
          </w:divBdr>
        </w:div>
        <w:div w:id="736167592">
          <w:marLeft w:val="0"/>
          <w:marRight w:val="0"/>
          <w:marTop w:val="0"/>
          <w:marBottom w:val="0"/>
          <w:divBdr>
            <w:top w:val="none" w:sz="0" w:space="0" w:color="auto"/>
            <w:left w:val="none" w:sz="0" w:space="0" w:color="auto"/>
            <w:bottom w:val="none" w:sz="0" w:space="0" w:color="auto"/>
            <w:right w:val="none" w:sz="0" w:space="0" w:color="auto"/>
          </w:divBdr>
        </w:div>
        <w:div w:id="1383019877">
          <w:marLeft w:val="0"/>
          <w:marRight w:val="0"/>
          <w:marTop w:val="0"/>
          <w:marBottom w:val="0"/>
          <w:divBdr>
            <w:top w:val="none" w:sz="0" w:space="0" w:color="auto"/>
            <w:left w:val="none" w:sz="0" w:space="0" w:color="auto"/>
            <w:bottom w:val="none" w:sz="0" w:space="0" w:color="auto"/>
            <w:right w:val="none" w:sz="0" w:space="0" w:color="auto"/>
          </w:divBdr>
        </w:div>
        <w:div w:id="2030184045">
          <w:marLeft w:val="0"/>
          <w:marRight w:val="0"/>
          <w:marTop w:val="0"/>
          <w:marBottom w:val="0"/>
          <w:divBdr>
            <w:top w:val="none" w:sz="0" w:space="0" w:color="auto"/>
            <w:left w:val="none" w:sz="0" w:space="0" w:color="auto"/>
            <w:bottom w:val="none" w:sz="0" w:space="0" w:color="auto"/>
            <w:right w:val="none" w:sz="0" w:space="0" w:color="auto"/>
          </w:divBdr>
        </w:div>
        <w:div w:id="848641835">
          <w:marLeft w:val="0"/>
          <w:marRight w:val="0"/>
          <w:marTop w:val="0"/>
          <w:marBottom w:val="0"/>
          <w:divBdr>
            <w:top w:val="none" w:sz="0" w:space="0" w:color="auto"/>
            <w:left w:val="none" w:sz="0" w:space="0" w:color="auto"/>
            <w:bottom w:val="none" w:sz="0" w:space="0" w:color="auto"/>
            <w:right w:val="none" w:sz="0" w:space="0" w:color="auto"/>
          </w:divBdr>
        </w:div>
        <w:div w:id="1714696621">
          <w:marLeft w:val="0"/>
          <w:marRight w:val="0"/>
          <w:marTop w:val="0"/>
          <w:marBottom w:val="0"/>
          <w:divBdr>
            <w:top w:val="none" w:sz="0" w:space="0" w:color="auto"/>
            <w:left w:val="none" w:sz="0" w:space="0" w:color="auto"/>
            <w:bottom w:val="none" w:sz="0" w:space="0" w:color="auto"/>
            <w:right w:val="none" w:sz="0" w:space="0" w:color="auto"/>
          </w:divBdr>
        </w:div>
        <w:div w:id="1197815645">
          <w:marLeft w:val="0"/>
          <w:marRight w:val="0"/>
          <w:marTop w:val="0"/>
          <w:marBottom w:val="0"/>
          <w:divBdr>
            <w:top w:val="none" w:sz="0" w:space="0" w:color="auto"/>
            <w:left w:val="none" w:sz="0" w:space="0" w:color="auto"/>
            <w:bottom w:val="none" w:sz="0" w:space="0" w:color="auto"/>
            <w:right w:val="none" w:sz="0" w:space="0" w:color="auto"/>
          </w:divBdr>
        </w:div>
        <w:div w:id="117989340">
          <w:marLeft w:val="0"/>
          <w:marRight w:val="0"/>
          <w:marTop w:val="0"/>
          <w:marBottom w:val="0"/>
          <w:divBdr>
            <w:top w:val="none" w:sz="0" w:space="0" w:color="auto"/>
            <w:left w:val="none" w:sz="0" w:space="0" w:color="auto"/>
            <w:bottom w:val="none" w:sz="0" w:space="0" w:color="auto"/>
            <w:right w:val="none" w:sz="0" w:space="0" w:color="auto"/>
          </w:divBdr>
        </w:div>
      </w:divsChild>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084760334">
      <w:bodyDiv w:val="1"/>
      <w:marLeft w:val="0"/>
      <w:marRight w:val="0"/>
      <w:marTop w:val="0"/>
      <w:marBottom w:val="0"/>
      <w:divBdr>
        <w:top w:val="none" w:sz="0" w:space="0" w:color="auto"/>
        <w:left w:val="none" w:sz="0" w:space="0" w:color="auto"/>
        <w:bottom w:val="none" w:sz="0" w:space="0" w:color="auto"/>
        <w:right w:val="none" w:sz="0" w:space="0" w:color="auto"/>
      </w:divBdr>
    </w:div>
    <w:div w:id="1098670759">
      <w:bodyDiv w:val="1"/>
      <w:marLeft w:val="0"/>
      <w:marRight w:val="0"/>
      <w:marTop w:val="0"/>
      <w:marBottom w:val="0"/>
      <w:divBdr>
        <w:top w:val="none" w:sz="0" w:space="0" w:color="auto"/>
        <w:left w:val="none" w:sz="0" w:space="0" w:color="auto"/>
        <w:bottom w:val="none" w:sz="0" w:space="0" w:color="auto"/>
        <w:right w:val="none" w:sz="0" w:space="0" w:color="auto"/>
      </w:divBdr>
    </w:div>
    <w:div w:id="1162238647">
      <w:bodyDiv w:val="1"/>
      <w:marLeft w:val="0"/>
      <w:marRight w:val="0"/>
      <w:marTop w:val="0"/>
      <w:marBottom w:val="0"/>
      <w:divBdr>
        <w:top w:val="none" w:sz="0" w:space="0" w:color="auto"/>
        <w:left w:val="none" w:sz="0" w:space="0" w:color="auto"/>
        <w:bottom w:val="none" w:sz="0" w:space="0" w:color="auto"/>
        <w:right w:val="none" w:sz="0" w:space="0" w:color="auto"/>
      </w:divBdr>
      <w:divsChild>
        <w:div w:id="610282541">
          <w:marLeft w:val="0"/>
          <w:marRight w:val="0"/>
          <w:marTop w:val="0"/>
          <w:marBottom w:val="0"/>
          <w:divBdr>
            <w:top w:val="none" w:sz="0" w:space="0" w:color="auto"/>
            <w:left w:val="none" w:sz="0" w:space="0" w:color="auto"/>
            <w:bottom w:val="none" w:sz="0" w:space="0" w:color="auto"/>
            <w:right w:val="none" w:sz="0" w:space="0" w:color="auto"/>
          </w:divBdr>
        </w:div>
        <w:div w:id="1509632201">
          <w:marLeft w:val="0"/>
          <w:marRight w:val="0"/>
          <w:marTop w:val="0"/>
          <w:marBottom w:val="0"/>
          <w:divBdr>
            <w:top w:val="none" w:sz="0" w:space="0" w:color="auto"/>
            <w:left w:val="none" w:sz="0" w:space="0" w:color="auto"/>
            <w:bottom w:val="none" w:sz="0" w:space="0" w:color="auto"/>
            <w:right w:val="none" w:sz="0" w:space="0" w:color="auto"/>
          </w:divBdr>
        </w:div>
        <w:div w:id="726073864">
          <w:marLeft w:val="0"/>
          <w:marRight w:val="0"/>
          <w:marTop w:val="0"/>
          <w:marBottom w:val="0"/>
          <w:divBdr>
            <w:top w:val="none" w:sz="0" w:space="0" w:color="auto"/>
            <w:left w:val="none" w:sz="0" w:space="0" w:color="auto"/>
            <w:bottom w:val="none" w:sz="0" w:space="0" w:color="auto"/>
            <w:right w:val="none" w:sz="0" w:space="0" w:color="auto"/>
          </w:divBdr>
        </w:div>
        <w:div w:id="1986468261">
          <w:marLeft w:val="0"/>
          <w:marRight w:val="0"/>
          <w:marTop w:val="0"/>
          <w:marBottom w:val="0"/>
          <w:divBdr>
            <w:top w:val="none" w:sz="0" w:space="0" w:color="auto"/>
            <w:left w:val="none" w:sz="0" w:space="0" w:color="auto"/>
            <w:bottom w:val="none" w:sz="0" w:space="0" w:color="auto"/>
            <w:right w:val="none" w:sz="0" w:space="0" w:color="auto"/>
          </w:divBdr>
        </w:div>
        <w:div w:id="1873685775">
          <w:marLeft w:val="0"/>
          <w:marRight w:val="0"/>
          <w:marTop w:val="0"/>
          <w:marBottom w:val="0"/>
          <w:divBdr>
            <w:top w:val="none" w:sz="0" w:space="0" w:color="auto"/>
            <w:left w:val="none" w:sz="0" w:space="0" w:color="auto"/>
            <w:bottom w:val="none" w:sz="0" w:space="0" w:color="auto"/>
            <w:right w:val="none" w:sz="0" w:space="0" w:color="auto"/>
          </w:divBdr>
        </w:div>
        <w:div w:id="923994753">
          <w:marLeft w:val="0"/>
          <w:marRight w:val="0"/>
          <w:marTop w:val="0"/>
          <w:marBottom w:val="0"/>
          <w:divBdr>
            <w:top w:val="none" w:sz="0" w:space="0" w:color="auto"/>
            <w:left w:val="none" w:sz="0" w:space="0" w:color="auto"/>
            <w:bottom w:val="none" w:sz="0" w:space="0" w:color="auto"/>
            <w:right w:val="none" w:sz="0" w:space="0" w:color="auto"/>
          </w:divBdr>
        </w:div>
        <w:div w:id="1860851332">
          <w:marLeft w:val="0"/>
          <w:marRight w:val="0"/>
          <w:marTop w:val="0"/>
          <w:marBottom w:val="0"/>
          <w:divBdr>
            <w:top w:val="none" w:sz="0" w:space="0" w:color="auto"/>
            <w:left w:val="none" w:sz="0" w:space="0" w:color="auto"/>
            <w:bottom w:val="none" w:sz="0" w:space="0" w:color="auto"/>
            <w:right w:val="none" w:sz="0" w:space="0" w:color="auto"/>
          </w:divBdr>
        </w:div>
        <w:div w:id="502744043">
          <w:marLeft w:val="0"/>
          <w:marRight w:val="0"/>
          <w:marTop w:val="0"/>
          <w:marBottom w:val="0"/>
          <w:divBdr>
            <w:top w:val="none" w:sz="0" w:space="0" w:color="auto"/>
            <w:left w:val="none" w:sz="0" w:space="0" w:color="auto"/>
            <w:bottom w:val="none" w:sz="0" w:space="0" w:color="auto"/>
            <w:right w:val="none" w:sz="0" w:space="0" w:color="auto"/>
          </w:divBdr>
        </w:div>
        <w:div w:id="483399545">
          <w:marLeft w:val="0"/>
          <w:marRight w:val="0"/>
          <w:marTop w:val="0"/>
          <w:marBottom w:val="0"/>
          <w:divBdr>
            <w:top w:val="none" w:sz="0" w:space="0" w:color="auto"/>
            <w:left w:val="none" w:sz="0" w:space="0" w:color="auto"/>
            <w:bottom w:val="none" w:sz="0" w:space="0" w:color="auto"/>
            <w:right w:val="none" w:sz="0" w:space="0" w:color="auto"/>
          </w:divBdr>
        </w:div>
        <w:div w:id="220944442">
          <w:marLeft w:val="0"/>
          <w:marRight w:val="0"/>
          <w:marTop w:val="0"/>
          <w:marBottom w:val="0"/>
          <w:divBdr>
            <w:top w:val="none" w:sz="0" w:space="0" w:color="auto"/>
            <w:left w:val="none" w:sz="0" w:space="0" w:color="auto"/>
            <w:bottom w:val="none" w:sz="0" w:space="0" w:color="auto"/>
            <w:right w:val="none" w:sz="0" w:space="0" w:color="auto"/>
          </w:divBdr>
        </w:div>
        <w:div w:id="1409959610">
          <w:marLeft w:val="0"/>
          <w:marRight w:val="0"/>
          <w:marTop w:val="0"/>
          <w:marBottom w:val="0"/>
          <w:divBdr>
            <w:top w:val="none" w:sz="0" w:space="0" w:color="auto"/>
            <w:left w:val="none" w:sz="0" w:space="0" w:color="auto"/>
            <w:bottom w:val="none" w:sz="0" w:space="0" w:color="auto"/>
            <w:right w:val="none" w:sz="0" w:space="0" w:color="auto"/>
          </w:divBdr>
        </w:div>
        <w:div w:id="1839078976">
          <w:marLeft w:val="0"/>
          <w:marRight w:val="0"/>
          <w:marTop w:val="0"/>
          <w:marBottom w:val="0"/>
          <w:divBdr>
            <w:top w:val="none" w:sz="0" w:space="0" w:color="auto"/>
            <w:left w:val="none" w:sz="0" w:space="0" w:color="auto"/>
            <w:bottom w:val="none" w:sz="0" w:space="0" w:color="auto"/>
            <w:right w:val="none" w:sz="0" w:space="0" w:color="auto"/>
          </w:divBdr>
        </w:div>
        <w:div w:id="297883468">
          <w:marLeft w:val="0"/>
          <w:marRight w:val="0"/>
          <w:marTop w:val="0"/>
          <w:marBottom w:val="0"/>
          <w:divBdr>
            <w:top w:val="none" w:sz="0" w:space="0" w:color="auto"/>
            <w:left w:val="none" w:sz="0" w:space="0" w:color="auto"/>
            <w:bottom w:val="none" w:sz="0" w:space="0" w:color="auto"/>
            <w:right w:val="none" w:sz="0" w:space="0" w:color="auto"/>
          </w:divBdr>
        </w:div>
        <w:div w:id="302009002">
          <w:marLeft w:val="0"/>
          <w:marRight w:val="0"/>
          <w:marTop w:val="0"/>
          <w:marBottom w:val="0"/>
          <w:divBdr>
            <w:top w:val="none" w:sz="0" w:space="0" w:color="auto"/>
            <w:left w:val="none" w:sz="0" w:space="0" w:color="auto"/>
            <w:bottom w:val="none" w:sz="0" w:space="0" w:color="auto"/>
            <w:right w:val="none" w:sz="0" w:space="0" w:color="auto"/>
          </w:divBdr>
        </w:div>
        <w:div w:id="69354829">
          <w:marLeft w:val="0"/>
          <w:marRight w:val="0"/>
          <w:marTop w:val="0"/>
          <w:marBottom w:val="0"/>
          <w:divBdr>
            <w:top w:val="none" w:sz="0" w:space="0" w:color="auto"/>
            <w:left w:val="none" w:sz="0" w:space="0" w:color="auto"/>
            <w:bottom w:val="none" w:sz="0" w:space="0" w:color="auto"/>
            <w:right w:val="none" w:sz="0" w:space="0" w:color="auto"/>
          </w:divBdr>
        </w:div>
      </w:divsChild>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022312">
      <w:bodyDiv w:val="1"/>
      <w:marLeft w:val="0"/>
      <w:marRight w:val="0"/>
      <w:marTop w:val="0"/>
      <w:marBottom w:val="0"/>
      <w:divBdr>
        <w:top w:val="none" w:sz="0" w:space="0" w:color="auto"/>
        <w:left w:val="none" w:sz="0" w:space="0" w:color="auto"/>
        <w:bottom w:val="none" w:sz="0" w:space="0" w:color="auto"/>
        <w:right w:val="none" w:sz="0" w:space="0" w:color="auto"/>
      </w:divBdr>
    </w:div>
    <w:div w:id="1443383753">
      <w:bodyDiv w:val="1"/>
      <w:marLeft w:val="0"/>
      <w:marRight w:val="0"/>
      <w:marTop w:val="0"/>
      <w:marBottom w:val="0"/>
      <w:divBdr>
        <w:top w:val="none" w:sz="0" w:space="0" w:color="auto"/>
        <w:left w:val="none" w:sz="0" w:space="0" w:color="auto"/>
        <w:bottom w:val="none" w:sz="0" w:space="0" w:color="auto"/>
        <w:right w:val="none" w:sz="0" w:space="0" w:color="auto"/>
      </w:divBdr>
      <w:divsChild>
        <w:div w:id="850530756">
          <w:marLeft w:val="0"/>
          <w:marRight w:val="0"/>
          <w:marTop w:val="0"/>
          <w:marBottom w:val="0"/>
          <w:divBdr>
            <w:top w:val="none" w:sz="0" w:space="0" w:color="auto"/>
            <w:left w:val="none" w:sz="0" w:space="0" w:color="auto"/>
            <w:bottom w:val="none" w:sz="0" w:space="0" w:color="auto"/>
            <w:right w:val="none" w:sz="0" w:space="0" w:color="auto"/>
          </w:divBdr>
        </w:div>
        <w:div w:id="746653479">
          <w:marLeft w:val="0"/>
          <w:marRight w:val="0"/>
          <w:marTop w:val="0"/>
          <w:marBottom w:val="0"/>
          <w:divBdr>
            <w:top w:val="none" w:sz="0" w:space="0" w:color="auto"/>
            <w:left w:val="none" w:sz="0" w:space="0" w:color="auto"/>
            <w:bottom w:val="none" w:sz="0" w:space="0" w:color="auto"/>
            <w:right w:val="none" w:sz="0" w:space="0" w:color="auto"/>
          </w:divBdr>
        </w:div>
        <w:div w:id="2052994279">
          <w:marLeft w:val="0"/>
          <w:marRight w:val="0"/>
          <w:marTop w:val="0"/>
          <w:marBottom w:val="0"/>
          <w:divBdr>
            <w:top w:val="none" w:sz="0" w:space="0" w:color="auto"/>
            <w:left w:val="none" w:sz="0" w:space="0" w:color="auto"/>
            <w:bottom w:val="none" w:sz="0" w:space="0" w:color="auto"/>
            <w:right w:val="none" w:sz="0" w:space="0" w:color="auto"/>
          </w:divBdr>
        </w:div>
        <w:div w:id="619914602">
          <w:marLeft w:val="0"/>
          <w:marRight w:val="0"/>
          <w:marTop w:val="0"/>
          <w:marBottom w:val="0"/>
          <w:divBdr>
            <w:top w:val="none" w:sz="0" w:space="0" w:color="auto"/>
            <w:left w:val="none" w:sz="0" w:space="0" w:color="auto"/>
            <w:bottom w:val="none" w:sz="0" w:space="0" w:color="auto"/>
            <w:right w:val="none" w:sz="0" w:space="0" w:color="auto"/>
          </w:divBdr>
        </w:div>
      </w:divsChild>
    </w:div>
    <w:div w:id="1591312354">
      <w:bodyDiv w:val="1"/>
      <w:marLeft w:val="0"/>
      <w:marRight w:val="0"/>
      <w:marTop w:val="0"/>
      <w:marBottom w:val="0"/>
      <w:divBdr>
        <w:top w:val="none" w:sz="0" w:space="0" w:color="auto"/>
        <w:left w:val="none" w:sz="0" w:space="0" w:color="auto"/>
        <w:bottom w:val="none" w:sz="0" w:space="0" w:color="auto"/>
        <w:right w:val="none" w:sz="0" w:space="0" w:color="auto"/>
      </w:divBdr>
    </w:div>
    <w:div w:id="1613391714">
      <w:bodyDiv w:val="1"/>
      <w:marLeft w:val="0"/>
      <w:marRight w:val="0"/>
      <w:marTop w:val="0"/>
      <w:marBottom w:val="0"/>
      <w:divBdr>
        <w:top w:val="none" w:sz="0" w:space="0" w:color="auto"/>
        <w:left w:val="none" w:sz="0" w:space="0" w:color="auto"/>
        <w:bottom w:val="none" w:sz="0" w:space="0" w:color="auto"/>
        <w:right w:val="none" w:sz="0" w:space="0" w:color="auto"/>
      </w:divBdr>
      <w:divsChild>
        <w:div w:id="930940918">
          <w:marLeft w:val="0"/>
          <w:marRight w:val="0"/>
          <w:marTop w:val="0"/>
          <w:marBottom w:val="0"/>
          <w:divBdr>
            <w:top w:val="none" w:sz="0" w:space="0" w:color="auto"/>
            <w:left w:val="none" w:sz="0" w:space="0" w:color="auto"/>
            <w:bottom w:val="none" w:sz="0" w:space="0" w:color="auto"/>
            <w:right w:val="none" w:sz="0" w:space="0" w:color="auto"/>
          </w:divBdr>
          <w:divsChild>
            <w:div w:id="1118839982">
              <w:marLeft w:val="0"/>
              <w:marRight w:val="0"/>
              <w:marTop w:val="0"/>
              <w:marBottom w:val="115"/>
              <w:divBdr>
                <w:top w:val="none" w:sz="0" w:space="0" w:color="auto"/>
                <w:left w:val="none" w:sz="0" w:space="0" w:color="auto"/>
                <w:bottom w:val="none" w:sz="0" w:space="0" w:color="auto"/>
                <w:right w:val="none" w:sz="0" w:space="0" w:color="auto"/>
              </w:divBdr>
              <w:divsChild>
                <w:div w:id="1228029321">
                  <w:marLeft w:val="0"/>
                  <w:marRight w:val="115"/>
                  <w:marTop w:val="0"/>
                  <w:marBottom w:val="0"/>
                  <w:divBdr>
                    <w:top w:val="single" w:sz="4" w:space="8" w:color="C0DDEB"/>
                    <w:left w:val="single" w:sz="4" w:space="6" w:color="C0DDEB"/>
                    <w:bottom w:val="single" w:sz="4" w:space="12" w:color="C0DDEB"/>
                    <w:right w:val="single" w:sz="4" w:space="6" w:color="C0DDEB"/>
                  </w:divBdr>
                  <w:divsChild>
                    <w:div w:id="980423016">
                      <w:marLeft w:val="0"/>
                      <w:marRight w:val="0"/>
                      <w:marTop w:val="0"/>
                      <w:marBottom w:val="0"/>
                      <w:divBdr>
                        <w:top w:val="none" w:sz="0" w:space="0" w:color="auto"/>
                        <w:left w:val="none" w:sz="0" w:space="0" w:color="auto"/>
                        <w:bottom w:val="none" w:sz="0" w:space="0" w:color="auto"/>
                        <w:right w:val="none" w:sz="0" w:space="0" w:color="auto"/>
                      </w:divBdr>
                      <w:divsChild>
                        <w:div w:id="11657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1965965616">
      <w:bodyDiv w:val="1"/>
      <w:marLeft w:val="0"/>
      <w:marRight w:val="0"/>
      <w:marTop w:val="0"/>
      <w:marBottom w:val="0"/>
      <w:divBdr>
        <w:top w:val="none" w:sz="0" w:space="0" w:color="auto"/>
        <w:left w:val="none" w:sz="0" w:space="0" w:color="auto"/>
        <w:bottom w:val="none" w:sz="0" w:space="0" w:color="auto"/>
        <w:right w:val="none" w:sz="0" w:space="0" w:color="auto"/>
      </w:divBdr>
      <w:divsChild>
        <w:div w:id="40055558">
          <w:marLeft w:val="0"/>
          <w:marRight w:val="0"/>
          <w:marTop w:val="0"/>
          <w:marBottom w:val="0"/>
          <w:divBdr>
            <w:top w:val="none" w:sz="0" w:space="0" w:color="auto"/>
            <w:left w:val="none" w:sz="0" w:space="0" w:color="auto"/>
            <w:bottom w:val="none" w:sz="0" w:space="0" w:color="auto"/>
            <w:right w:val="none" w:sz="0" w:space="0" w:color="auto"/>
          </w:divBdr>
          <w:divsChild>
            <w:div w:id="1429110302">
              <w:marLeft w:val="0"/>
              <w:marRight w:val="0"/>
              <w:marTop w:val="0"/>
              <w:marBottom w:val="150"/>
              <w:divBdr>
                <w:top w:val="none" w:sz="0" w:space="0" w:color="auto"/>
                <w:left w:val="none" w:sz="0" w:space="0" w:color="auto"/>
                <w:bottom w:val="none" w:sz="0" w:space="0" w:color="auto"/>
                <w:right w:val="none" w:sz="0" w:space="0" w:color="auto"/>
              </w:divBdr>
              <w:divsChild>
                <w:div w:id="945042618">
                  <w:marLeft w:val="0"/>
                  <w:marRight w:val="150"/>
                  <w:marTop w:val="0"/>
                  <w:marBottom w:val="0"/>
                  <w:divBdr>
                    <w:top w:val="single" w:sz="6" w:space="11" w:color="C0DDEB"/>
                    <w:left w:val="single" w:sz="6" w:space="8" w:color="C0DDEB"/>
                    <w:bottom w:val="single" w:sz="6" w:space="15" w:color="C0DDEB"/>
                    <w:right w:val="single" w:sz="6" w:space="8" w:color="C0DDEB"/>
                  </w:divBdr>
                  <w:divsChild>
                    <w:div w:id="761026117">
                      <w:marLeft w:val="0"/>
                      <w:marRight w:val="0"/>
                      <w:marTop w:val="0"/>
                      <w:marBottom w:val="0"/>
                      <w:divBdr>
                        <w:top w:val="none" w:sz="0" w:space="0" w:color="auto"/>
                        <w:left w:val="none" w:sz="0" w:space="0" w:color="auto"/>
                        <w:bottom w:val="none" w:sz="0" w:space="0" w:color="auto"/>
                        <w:right w:val="none" w:sz="0" w:space="0" w:color="auto"/>
                      </w:divBdr>
                      <w:divsChild>
                        <w:div w:id="2791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rc" TargetMode="External"/><Relationship Id="rId13" Type="http://schemas.openxmlformats.org/officeDocument/2006/relationships/image" Target="media/image1.jpe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0B76-C7F1-45D3-AC11-63CC50D0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18535</Words>
  <Characters>101947</Characters>
  <Application>Microsoft Office Word</Application>
  <DocSecurity>0</DocSecurity>
  <Lines>849</Lines>
  <Paragraphs>240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120242</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7077973</vt:i4>
      </vt:variant>
      <vt:variant>
        <vt:i4>174</vt:i4>
      </vt:variant>
      <vt:variant>
        <vt:i4>0</vt:i4>
      </vt:variant>
      <vt:variant>
        <vt:i4>5</vt:i4>
      </vt:variant>
      <vt:variant>
        <vt:lpwstr>mailto:permit@ibgebim.be</vt:lpwstr>
      </vt:variant>
      <vt:variant>
        <vt:lpwstr/>
      </vt:variant>
      <vt:variant>
        <vt:i4>1572914</vt:i4>
      </vt:variant>
      <vt:variant>
        <vt:i4>164</vt:i4>
      </vt:variant>
      <vt:variant>
        <vt:i4>0</vt:i4>
      </vt:variant>
      <vt:variant>
        <vt:i4>5</vt:i4>
      </vt:variant>
      <vt:variant>
        <vt:lpwstr/>
      </vt:variant>
      <vt:variant>
        <vt:lpwstr>_Toc357609650</vt:lpwstr>
      </vt:variant>
      <vt:variant>
        <vt:i4>1638450</vt:i4>
      </vt:variant>
      <vt:variant>
        <vt:i4>158</vt:i4>
      </vt:variant>
      <vt:variant>
        <vt:i4>0</vt:i4>
      </vt:variant>
      <vt:variant>
        <vt:i4>5</vt:i4>
      </vt:variant>
      <vt:variant>
        <vt:lpwstr/>
      </vt:variant>
      <vt:variant>
        <vt:lpwstr>_Toc357609649</vt:lpwstr>
      </vt:variant>
      <vt:variant>
        <vt:i4>1638450</vt:i4>
      </vt:variant>
      <vt:variant>
        <vt:i4>152</vt:i4>
      </vt:variant>
      <vt:variant>
        <vt:i4>0</vt:i4>
      </vt:variant>
      <vt:variant>
        <vt:i4>5</vt:i4>
      </vt:variant>
      <vt:variant>
        <vt:lpwstr/>
      </vt:variant>
      <vt:variant>
        <vt:lpwstr>_Toc357609648</vt:lpwstr>
      </vt:variant>
      <vt:variant>
        <vt:i4>1638450</vt:i4>
      </vt:variant>
      <vt:variant>
        <vt:i4>146</vt:i4>
      </vt:variant>
      <vt:variant>
        <vt:i4>0</vt:i4>
      </vt:variant>
      <vt:variant>
        <vt:i4>5</vt:i4>
      </vt:variant>
      <vt:variant>
        <vt:lpwstr/>
      </vt:variant>
      <vt:variant>
        <vt:lpwstr>_Toc357609646</vt:lpwstr>
      </vt:variant>
      <vt:variant>
        <vt:i4>1638450</vt:i4>
      </vt:variant>
      <vt:variant>
        <vt:i4>140</vt:i4>
      </vt:variant>
      <vt:variant>
        <vt:i4>0</vt:i4>
      </vt:variant>
      <vt:variant>
        <vt:i4>5</vt:i4>
      </vt:variant>
      <vt:variant>
        <vt:lpwstr/>
      </vt:variant>
      <vt:variant>
        <vt:lpwstr>_Toc357609645</vt:lpwstr>
      </vt:variant>
      <vt:variant>
        <vt:i4>1638450</vt:i4>
      </vt:variant>
      <vt:variant>
        <vt:i4>134</vt:i4>
      </vt:variant>
      <vt:variant>
        <vt:i4>0</vt:i4>
      </vt:variant>
      <vt:variant>
        <vt:i4>5</vt:i4>
      </vt:variant>
      <vt:variant>
        <vt:lpwstr/>
      </vt:variant>
      <vt:variant>
        <vt:lpwstr>_Toc357609644</vt:lpwstr>
      </vt:variant>
      <vt:variant>
        <vt:i4>1638450</vt:i4>
      </vt:variant>
      <vt:variant>
        <vt:i4>128</vt:i4>
      </vt:variant>
      <vt:variant>
        <vt:i4>0</vt:i4>
      </vt:variant>
      <vt:variant>
        <vt:i4>5</vt:i4>
      </vt:variant>
      <vt:variant>
        <vt:lpwstr/>
      </vt:variant>
      <vt:variant>
        <vt:lpwstr>_Toc357609643</vt:lpwstr>
      </vt:variant>
      <vt:variant>
        <vt:i4>1638450</vt:i4>
      </vt:variant>
      <vt:variant>
        <vt:i4>122</vt:i4>
      </vt:variant>
      <vt:variant>
        <vt:i4>0</vt:i4>
      </vt:variant>
      <vt:variant>
        <vt:i4>5</vt:i4>
      </vt:variant>
      <vt:variant>
        <vt:lpwstr/>
      </vt:variant>
      <vt:variant>
        <vt:lpwstr>_Toc357609642</vt:lpwstr>
      </vt:variant>
      <vt:variant>
        <vt:i4>1638450</vt:i4>
      </vt:variant>
      <vt:variant>
        <vt:i4>116</vt:i4>
      </vt:variant>
      <vt:variant>
        <vt:i4>0</vt:i4>
      </vt:variant>
      <vt:variant>
        <vt:i4>5</vt:i4>
      </vt:variant>
      <vt:variant>
        <vt:lpwstr/>
      </vt:variant>
      <vt:variant>
        <vt:lpwstr>_Toc357609641</vt:lpwstr>
      </vt:variant>
      <vt:variant>
        <vt:i4>1638450</vt:i4>
      </vt:variant>
      <vt:variant>
        <vt:i4>110</vt:i4>
      </vt:variant>
      <vt:variant>
        <vt:i4>0</vt:i4>
      </vt:variant>
      <vt:variant>
        <vt:i4>5</vt:i4>
      </vt:variant>
      <vt:variant>
        <vt:lpwstr/>
      </vt:variant>
      <vt:variant>
        <vt:lpwstr>_Toc357609640</vt:lpwstr>
      </vt:variant>
      <vt:variant>
        <vt:i4>1966130</vt:i4>
      </vt:variant>
      <vt:variant>
        <vt:i4>104</vt:i4>
      </vt:variant>
      <vt:variant>
        <vt:i4>0</vt:i4>
      </vt:variant>
      <vt:variant>
        <vt:i4>5</vt:i4>
      </vt:variant>
      <vt:variant>
        <vt:lpwstr/>
      </vt:variant>
      <vt:variant>
        <vt:lpwstr>_Toc357609639</vt:lpwstr>
      </vt:variant>
      <vt:variant>
        <vt:i4>1966130</vt:i4>
      </vt:variant>
      <vt:variant>
        <vt:i4>98</vt:i4>
      </vt:variant>
      <vt:variant>
        <vt:i4>0</vt:i4>
      </vt:variant>
      <vt:variant>
        <vt:i4>5</vt:i4>
      </vt:variant>
      <vt:variant>
        <vt:lpwstr/>
      </vt:variant>
      <vt:variant>
        <vt:lpwstr>_Toc357609638</vt:lpwstr>
      </vt:variant>
      <vt:variant>
        <vt:i4>1966130</vt:i4>
      </vt:variant>
      <vt:variant>
        <vt:i4>92</vt:i4>
      </vt:variant>
      <vt:variant>
        <vt:i4>0</vt:i4>
      </vt:variant>
      <vt:variant>
        <vt:i4>5</vt:i4>
      </vt:variant>
      <vt:variant>
        <vt:lpwstr/>
      </vt:variant>
      <vt:variant>
        <vt:lpwstr>_Toc357609637</vt:lpwstr>
      </vt:variant>
      <vt:variant>
        <vt:i4>1966130</vt:i4>
      </vt:variant>
      <vt:variant>
        <vt:i4>86</vt:i4>
      </vt:variant>
      <vt:variant>
        <vt:i4>0</vt:i4>
      </vt:variant>
      <vt:variant>
        <vt:i4>5</vt:i4>
      </vt:variant>
      <vt:variant>
        <vt:lpwstr/>
      </vt:variant>
      <vt:variant>
        <vt:lpwstr>_Toc357609636</vt:lpwstr>
      </vt:variant>
      <vt:variant>
        <vt:i4>1966130</vt:i4>
      </vt:variant>
      <vt:variant>
        <vt:i4>80</vt:i4>
      </vt:variant>
      <vt:variant>
        <vt:i4>0</vt:i4>
      </vt:variant>
      <vt:variant>
        <vt:i4>5</vt:i4>
      </vt:variant>
      <vt:variant>
        <vt:lpwstr/>
      </vt:variant>
      <vt:variant>
        <vt:lpwstr>_Toc357609635</vt:lpwstr>
      </vt:variant>
      <vt:variant>
        <vt:i4>1966130</vt:i4>
      </vt:variant>
      <vt:variant>
        <vt:i4>74</vt:i4>
      </vt:variant>
      <vt:variant>
        <vt:i4>0</vt:i4>
      </vt:variant>
      <vt:variant>
        <vt:i4>5</vt:i4>
      </vt:variant>
      <vt:variant>
        <vt:lpwstr/>
      </vt:variant>
      <vt:variant>
        <vt:lpwstr>_Toc357609634</vt:lpwstr>
      </vt:variant>
      <vt:variant>
        <vt:i4>1966130</vt:i4>
      </vt:variant>
      <vt:variant>
        <vt:i4>68</vt:i4>
      </vt:variant>
      <vt:variant>
        <vt:i4>0</vt:i4>
      </vt:variant>
      <vt:variant>
        <vt:i4>5</vt:i4>
      </vt:variant>
      <vt:variant>
        <vt:lpwstr/>
      </vt:variant>
      <vt:variant>
        <vt:lpwstr>_Toc357609633</vt:lpwstr>
      </vt:variant>
      <vt:variant>
        <vt:i4>1966130</vt:i4>
      </vt:variant>
      <vt:variant>
        <vt:i4>62</vt:i4>
      </vt:variant>
      <vt:variant>
        <vt:i4>0</vt:i4>
      </vt:variant>
      <vt:variant>
        <vt:i4>5</vt:i4>
      </vt:variant>
      <vt:variant>
        <vt:lpwstr/>
      </vt:variant>
      <vt:variant>
        <vt:lpwstr>_Toc357609632</vt:lpwstr>
      </vt:variant>
      <vt:variant>
        <vt:i4>1966130</vt:i4>
      </vt:variant>
      <vt:variant>
        <vt:i4>56</vt:i4>
      </vt:variant>
      <vt:variant>
        <vt:i4>0</vt:i4>
      </vt:variant>
      <vt:variant>
        <vt:i4>5</vt:i4>
      </vt:variant>
      <vt:variant>
        <vt:lpwstr/>
      </vt:variant>
      <vt:variant>
        <vt:lpwstr>_Toc357609631</vt:lpwstr>
      </vt:variant>
      <vt:variant>
        <vt:i4>1966130</vt:i4>
      </vt:variant>
      <vt:variant>
        <vt:i4>50</vt:i4>
      </vt:variant>
      <vt:variant>
        <vt:i4>0</vt:i4>
      </vt:variant>
      <vt:variant>
        <vt:i4>5</vt:i4>
      </vt:variant>
      <vt:variant>
        <vt:lpwstr/>
      </vt:variant>
      <vt:variant>
        <vt:lpwstr>_Toc357609630</vt:lpwstr>
      </vt:variant>
      <vt:variant>
        <vt:i4>2031666</vt:i4>
      </vt:variant>
      <vt:variant>
        <vt:i4>44</vt:i4>
      </vt:variant>
      <vt:variant>
        <vt:i4>0</vt:i4>
      </vt:variant>
      <vt:variant>
        <vt:i4>5</vt:i4>
      </vt:variant>
      <vt:variant>
        <vt:lpwstr/>
      </vt:variant>
      <vt:variant>
        <vt:lpwstr>_Toc357609629</vt:lpwstr>
      </vt:variant>
      <vt:variant>
        <vt:i4>2031666</vt:i4>
      </vt:variant>
      <vt:variant>
        <vt:i4>38</vt:i4>
      </vt:variant>
      <vt:variant>
        <vt:i4>0</vt:i4>
      </vt:variant>
      <vt:variant>
        <vt:i4>5</vt:i4>
      </vt:variant>
      <vt:variant>
        <vt:lpwstr/>
      </vt:variant>
      <vt:variant>
        <vt:lpwstr>_Toc357609628</vt:lpwstr>
      </vt:variant>
      <vt:variant>
        <vt:i4>2031666</vt:i4>
      </vt:variant>
      <vt:variant>
        <vt:i4>32</vt:i4>
      </vt:variant>
      <vt:variant>
        <vt:i4>0</vt:i4>
      </vt:variant>
      <vt:variant>
        <vt:i4>5</vt:i4>
      </vt:variant>
      <vt:variant>
        <vt:lpwstr/>
      </vt:variant>
      <vt:variant>
        <vt:lpwstr>_Toc357609627</vt:lpwstr>
      </vt:variant>
      <vt:variant>
        <vt:i4>2031666</vt:i4>
      </vt:variant>
      <vt:variant>
        <vt:i4>26</vt:i4>
      </vt:variant>
      <vt:variant>
        <vt:i4>0</vt:i4>
      </vt:variant>
      <vt:variant>
        <vt:i4>5</vt:i4>
      </vt:variant>
      <vt:variant>
        <vt:lpwstr/>
      </vt:variant>
      <vt:variant>
        <vt:lpwstr>_Toc357609626</vt:lpwstr>
      </vt:variant>
      <vt:variant>
        <vt:i4>2031666</vt:i4>
      </vt:variant>
      <vt:variant>
        <vt:i4>20</vt:i4>
      </vt:variant>
      <vt:variant>
        <vt:i4>0</vt:i4>
      </vt:variant>
      <vt:variant>
        <vt:i4>5</vt:i4>
      </vt:variant>
      <vt:variant>
        <vt:lpwstr/>
      </vt:variant>
      <vt:variant>
        <vt:lpwstr>_Toc357609625</vt:lpwstr>
      </vt:variant>
      <vt:variant>
        <vt:i4>2031666</vt:i4>
      </vt:variant>
      <vt:variant>
        <vt:i4>14</vt:i4>
      </vt:variant>
      <vt:variant>
        <vt:i4>0</vt:i4>
      </vt:variant>
      <vt:variant>
        <vt:i4>5</vt:i4>
      </vt:variant>
      <vt:variant>
        <vt:lpwstr/>
      </vt:variant>
      <vt:variant>
        <vt:lpwstr>_Toc357609624</vt:lpwstr>
      </vt:variant>
      <vt:variant>
        <vt:i4>2031666</vt:i4>
      </vt:variant>
      <vt:variant>
        <vt:i4>8</vt:i4>
      </vt:variant>
      <vt:variant>
        <vt:i4>0</vt:i4>
      </vt:variant>
      <vt:variant>
        <vt:i4>5</vt:i4>
      </vt:variant>
      <vt:variant>
        <vt:lpwstr/>
      </vt:variant>
      <vt:variant>
        <vt:lpwstr>_Toc357609623</vt:lpwstr>
      </vt:variant>
      <vt:variant>
        <vt:i4>2359393</vt:i4>
      </vt:variant>
      <vt:variant>
        <vt:i4>3</vt:i4>
      </vt:variant>
      <vt:variant>
        <vt:i4>0</vt:i4>
      </vt:variant>
      <vt:variant>
        <vt:i4>5</vt:i4>
      </vt:variant>
      <vt:variant>
        <vt:lpwstr>http://www.emploi.belgique.be/</vt:lpwstr>
      </vt:variant>
      <vt:variant>
        <vt:lpwstr/>
      </vt:variant>
      <vt:variant>
        <vt:i4>4325420</vt:i4>
      </vt:variant>
      <vt:variant>
        <vt:i4>0</vt:i4>
      </vt:variant>
      <vt:variant>
        <vt:i4>0</vt:i4>
      </vt:variant>
      <vt:variant>
        <vt:i4>5</vt:i4>
      </vt:variant>
      <vt:variant>
        <vt:lpwstr>mailto:CRC@emploi.belgique.be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2019-05-28T08:34:00Z</dcterms:created>
  <dcterms:modified xsi:type="dcterms:W3CDTF">2019-05-28T08:52:00Z</dcterms:modified>
</cp:coreProperties>
</file>