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43B" w:rsidRPr="00CD563E" w:rsidRDefault="0028428D" w:rsidP="001C643B">
      <w:pPr>
        <w:rPr>
          <w:sz w:val="20"/>
          <w:szCs w:val="20"/>
          <w:u w:val="single"/>
          <w:lang w:val="fr-BE"/>
        </w:rPr>
      </w:pPr>
      <w:r>
        <w:rPr>
          <w:sz w:val="20"/>
          <w:szCs w:val="20"/>
          <w:u w:val="single"/>
          <w:lang w:val="fr-BE"/>
        </w:rPr>
        <w:t xml:space="preserve">CP 112 / </w:t>
      </w:r>
      <w:proofErr w:type="spellStart"/>
      <w:r>
        <w:rPr>
          <w:sz w:val="20"/>
          <w:szCs w:val="20"/>
          <w:u w:val="single"/>
          <w:lang w:val="fr-BE"/>
        </w:rPr>
        <w:t>sCP</w:t>
      </w:r>
      <w:proofErr w:type="spellEnd"/>
      <w:r>
        <w:rPr>
          <w:sz w:val="20"/>
          <w:szCs w:val="20"/>
          <w:u w:val="single"/>
          <w:lang w:val="fr-BE"/>
        </w:rPr>
        <w:t xml:space="preserve"> 149.02 : </w:t>
      </w:r>
      <w:bookmarkStart w:id="0" w:name="_GoBack"/>
      <w:bookmarkEnd w:id="0"/>
      <w:r w:rsidR="001C643B" w:rsidRPr="00CD563E">
        <w:rPr>
          <w:sz w:val="20"/>
          <w:szCs w:val="20"/>
          <w:u w:val="single"/>
          <w:lang w:val="fr-BE"/>
        </w:rPr>
        <w:t>Projets supplémentaires en faveur de jeunes 2018-2019</w:t>
      </w:r>
    </w:p>
    <w:tbl>
      <w:tblPr>
        <w:tblStyle w:val="Tabelraster"/>
        <w:tblpPr w:leftFromText="141" w:rightFromText="141" w:vertAnchor="page" w:horzAnchor="margin" w:tblpXSpec="center" w:tblpY="2719"/>
        <w:tblW w:w="15870" w:type="dxa"/>
        <w:tblLayout w:type="fixed"/>
        <w:tblLook w:val="04A0" w:firstRow="1" w:lastRow="0" w:firstColumn="1" w:lastColumn="0" w:noHBand="0" w:noVBand="1"/>
      </w:tblPr>
      <w:tblGrid>
        <w:gridCol w:w="534"/>
        <w:gridCol w:w="1701"/>
        <w:gridCol w:w="4819"/>
        <w:gridCol w:w="1276"/>
        <w:gridCol w:w="3260"/>
        <w:gridCol w:w="1276"/>
        <w:gridCol w:w="1559"/>
        <w:gridCol w:w="1445"/>
      </w:tblGrid>
      <w:tr w:rsidR="00CD563E" w:rsidRPr="00CD563E" w:rsidTr="00CD563E">
        <w:trPr>
          <w:trHeight w:val="338"/>
        </w:trPr>
        <w:tc>
          <w:tcPr>
            <w:tcW w:w="534" w:type="dxa"/>
            <w:vMerge w:val="restart"/>
            <w:tcBorders>
              <w:top w:val="nil"/>
              <w:left w:val="nil"/>
            </w:tcBorders>
          </w:tcPr>
          <w:p w:rsidR="001C643B" w:rsidRPr="00CD563E" w:rsidRDefault="001C643B" w:rsidP="001C643B">
            <w:pPr>
              <w:rPr>
                <w:sz w:val="20"/>
                <w:szCs w:val="20"/>
                <w:lang w:val="fr-BE"/>
              </w:rPr>
            </w:pPr>
          </w:p>
        </w:tc>
        <w:tc>
          <w:tcPr>
            <w:tcW w:w="1701" w:type="dxa"/>
            <w:vMerge w:val="restart"/>
            <w:shd w:val="clear" w:color="auto" w:fill="B8CCE4" w:themeFill="accent1" w:themeFillTint="66"/>
            <w:vAlign w:val="center"/>
          </w:tcPr>
          <w:p w:rsidR="001C643B" w:rsidRPr="00CD563E" w:rsidRDefault="001C643B" w:rsidP="001C643B">
            <w:pPr>
              <w:jc w:val="center"/>
              <w:rPr>
                <w:sz w:val="20"/>
                <w:szCs w:val="20"/>
              </w:rPr>
            </w:pPr>
            <w:r w:rsidRPr="00CD563E">
              <w:rPr>
                <w:sz w:val="20"/>
                <w:szCs w:val="20"/>
              </w:rPr>
              <w:t xml:space="preserve">Intitulé de </w:t>
            </w:r>
            <w:proofErr w:type="spellStart"/>
            <w:r w:rsidRPr="00CD563E">
              <w:rPr>
                <w:sz w:val="20"/>
                <w:szCs w:val="20"/>
              </w:rPr>
              <w:t>l’action</w:t>
            </w:r>
            <w:proofErr w:type="spellEnd"/>
          </w:p>
        </w:tc>
        <w:tc>
          <w:tcPr>
            <w:tcW w:w="4819" w:type="dxa"/>
            <w:vMerge w:val="restart"/>
            <w:shd w:val="clear" w:color="auto" w:fill="B8CCE4" w:themeFill="accent1" w:themeFillTint="66"/>
            <w:vAlign w:val="center"/>
          </w:tcPr>
          <w:p w:rsidR="001C643B" w:rsidRPr="00CD563E" w:rsidRDefault="001C643B" w:rsidP="001C643B">
            <w:pPr>
              <w:jc w:val="center"/>
              <w:rPr>
                <w:sz w:val="20"/>
                <w:szCs w:val="20"/>
              </w:rPr>
            </w:pPr>
            <w:proofErr w:type="spellStart"/>
            <w:r w:rsidRPr="00CD563E">
              <w:rPr>
                <w:sz w:val="20"/>
                <w:szCs w:val="20"/>
              </w:rPr>
              <w:t>Objectifs</w:t>
            </w:r>
            <w:proofErr w:type="spellEnd"/>
            <w:r w:rsidRPr="00CD563E">
              <w:rPr>
                <w:sz w:val="20"/>
                <w:szCs w:val="20"/>
              </w:rPr>
              <w:t xml:space="preserve"> </w:t>
            </w:r>
            <w:proofErr w:type="spellStart"/>
            <w:r w:rsidRPr="00CD563E">
              <w:rPr>
                <w:sz w:val="20"/>
                <w:szCs w:val="20"/>
              </w:rPr>
              <w:t>poursuivis</w:t>
            </w:r>
            <w:proofErr w:type="spellEnd"/>
          </w:p>
        </w:tc>
        <w:tc>
          <w:tcPr>
            <w:tcW w:w="1276" w:type="dxa"/>
            <w:vMerge w:val="restart"/>
            <w:shd w:val="clear" w:color="auto" w:fill="B8CCE4" w:themeFill="accent1" w:themeFillTint="66"/>
            <w:vAlign w:val="center"/>
          </w:tcPr>
          <w:p w:rsidR="001C643B" w:rsidRPr="00CD563E" w:rsidRDefault="001C643B" w:rsidP="001C643B">
            <w:pPr>
              <w:jc w:val="center"/>
              <w:rPr>
                <w:sz w:val="20"/>
                <w:szCs w:val="20"/>
                <w:lang w:val="fr-BE"/>
              </w:rPr>
            </w:pPr>
            <w:r w:rsidRPr="00CD563E">
              <w:rPr>
                <w:sz w:val="20"/>
                <w:szCs w:val="20"/>
                <w:lang w:val="fr-BE"/>
              </w:rPr>
              <w:t>Collaboration (s) avec… (d’autres organisations)</w:t>
            </w:r>
          </w:p>
        </w:tc>
        <w:tc>
          <w:tcPr>
            <w:tcW w:w="3260" w:type="dxa"/>
            <w:vMerge w:val="restart"/>
            <w:shd w:val="clear" w:color="auto" w:fill="B8CCE4" w:themeFill="accent1" w:themeFillTint="66"/>
            <w:vAlign w:val="center"/>
          </w:tcPr>
          <w:p w:rsidR="001C643B" w:rsidRPr="00CD563E" w:rsidRDefault="001C643B" w:rsidP="001C643B">
            <w:pPr>
              <w:jc w:val="center"/>
              <w:rPr>
                <w:sz w:val="20"/>
                <w:szCs w:val="20"/>
              </w:rPr>
            </w:pPr>
            <w:r w:rsidRPr="00CD563E">
              <w:rPr>
                <w:sz w:val="20"/>
                <w:szCs w:val="20"/>
              </w:rPr>
              <w:t>Groupe-</w:t>
            </w:r>
            <w:proofErr w:type="spellStart"/>
            <w:r w:rsidRPr="00CD563E">
              <w:rPr>
                <w:sz w:val="20"/>
                <w:szCs w:val="20"/>
              </w:rPr>
              <w:t>cible</w:t>
            </w:r>
            <w:proofErr w:type="spellEnd"/>
          </w:p>
        </w:tc>
        <w:tc>
          <w:tcPr>
            <w:tcW w:w="1276" w:type="dxa"/>
            <w:vMerge w:val="restart"/>
            <w:shd w:val="clear" w:color="auto" w:fill="B8CCE4" w:themeFill="accent1" w:themeFillTint="66"/>
            <w:vAlign w:val="center"/>
          </w:tcPr>
          <w:p w:rsidR="001C643B" w:rsidRPr="00CD563E" w:rsidRDefault="001C643B" w:rsidP="001C643B">
            <w:pPr>
              <w:jc w:val="center"/>
              <w:rPr>
                <w:sz w:val="20"/>
                <w:szCs w:val="20"/>
              </w:rPr>
            </w:pPr>
            <w:proofErr w:type="spellStart"/>
            <w:r w:rsidRPr="00CD563E">
              <w:rPr>
                <w:sz w:val="20"/>
                <w:szCs w:val="20"/>
              </w:rPr>
              <w:t>Nombre</w:t>
            </w:r>
            <w:proofErr w:type="spellEnd"/>
            <w:r w:rsidRPr="00CD563E">
              <w:rPr>
                <w:sz w:val="20"/>
                <w:szCs w:val="20"/>
              </w:rPr>
              <w:t xml:space="preserve"> de </w:t>
            </w:r>
            <w:proofErr w:type="spellStart"/>
            <w:r w:rsidRPr="00CD563E">
              <w:rPr>
                <w:sz w:val="20"/>
                <w:szCs w:val="20"/>
              </w:rPr>
              <w:t>participants</w:t>
            </w:r>
            <w:proofErr w:type="spellEnd"/>
            <w:r w:rsidRPr="00CD563E">
              <w:rPr>
                <w:sz w:val="20"/>
                <w:szCs w:val="20"/>
              </w:rPr>
              <w:t xml:space="preserve"> </w:t>
            </w:r>
            <w:proofErr w:type="spellStart"/>
            <w:r w:rsidRPr="00CD563E">
              <w:rPr>
                <w:sz w:val="20"/>
                <w:szCs w:val="20"/>
              </w:rPr>
              <w:t>envisagé</w:t>
            </w:r>
            <w:proofErr w:type="spellEnd"/>
          </w:p>
        </w:tc>
        <w:tc>
          <w:tcPr>
            <w:tcW w:w="3004" w:type="dxa"/>
            <w:gridSpan w:val="2"/>
            <w:shd w:val="clear" w:color="auto" w:fill="B8CCE4" w:themeFill="accent1" w:themeFillTint="66"/>
            <w:vAlign w:val="center"/>
          </w:tcPr>
          <w:p w:rsidR="001C643B" w:rsidRPr="00CD563E" w:rsidRDefault="001C643B" w:rsidP="001C643B">
            <w:pPr>
              <w:jc w:val="center"/>
              <w:rPr>
                <w:sz w:val="20"/>
                <w:szCs w:val="20"/>
              </w:rPr>
            </w:pPr>
            <w:proofErr w:type="spellStart"/>
            <w:r w:rsidRPr="00CD563E">
              <w:rPr>
                <w:sz w:val="20"/>
                <w:szCs w:val="20"/>
              </w:rPr>
              <w:t>Coût</w:t>
            </w:r>
            <w:proofErr w:type="spellEnd"/>
            <w:r w:rsidRPr="00CD563E">
              <w:rPr>
                <w:sz w:val="20"/>
                <w:szCs w:val="20"/>
              </w:rPr>
              <w:t xml:space="preserve"> de </w:t>
            </w:r>
            <w:proofErr w:type="spellStart"/>
            <w:r w:rsidRPr="00CD563E">
              <w:rPr>
                <w:sz w:val="20"/>
                <w:szCs w:val="20"/>
              </w:rPr>
              <w:t>l’action</w:t>
            </w:r>
            <w:proofErr w:type="spellEnd"/>
          </w:p>
        </w:tc>
      </w:tr>
      <w:tr w:rsidR="00CD563E" w:rsidRPr="00CD563E" w:rsidTr="00CD563E">
        <w:trPr>
          <w:trHeight w:val="338"/>
        </w:trPr>
        <w:tc>
          <w:tcPr>
            <w:tcW w:w="534" w:type="dxa"/>
            <w:vMerge/>
            <w:tcBorders>
              <w:left w:val="nil"/>
            </w:tcBorders>
          </w:tcPr>
          <w:p w:rsidR="001C643B" w:rsidRPr="00CD563E" w:rsidRDefault="001C643B" w:rsidP="001C643B">
            <w:pPr>
              <w:rPr>
                <w:sz w:val="20"/>
                <w:szCs w:val="20"/>
              </w:rPr>
            </w:pPr>
          </w:p>
        </w:tc>
        <w:tc>
          <w:tcPr>
            <w:tcW w:w="1701" w:type="dxa"/>
            <w:vMerge/>
            <w:shd w:val="clear" w:color="auto" w:fill="B8CCE4" w:themeFill="accent1" w:themeFillTint="66"/>
            <w:vAlign w:val="center"/>
          </w:tcPr>
          <w:p w:rsidR="001C643B" w:rsidRPr="00CD563E" w:rsidRDefault="001C643B" w:rsidP="001C643B">
            <w:pPr>
              <w:jc w:val="center"/>
              <w:rPr>
                <w:sz w:val="20"/>
                <w:szCs w:val="20"/>
              </w:rPr>
            </w:pPr>
          </w:p>
        </w:tc>
        <w:tc>
          <w:tcPr>
            <w:tcW w:w="4819" w:type="dxa"/>
            <w:vMerge/>
            <w:shd w:val="clear" w:color="auto" w:fill="B8CCE4" w:themeFill="accent1" w:themeFillTint="66"/>
            <w:vAlign w:val="center"/>
          </w:tcPr>
          <w:p w:rsidR="001C643B" w:rsidRPr="00CD563E" w:rsidRDefault="001C643B" w:rsidP="001C643B">
            <w:pPr>
              <w:jc w:val="center"/>
              <w:rPr>
                <w:sz w:val="20"/>
                <w:szCs w:val="20"/>
              </w:rPr>
            </w:pPr>
          </w:p>
        </w:tc>
        <w:tc>
          <w:tcPr>
            <w:tcW w:w="1276" w:type="dxa"/>
            <w:vMerge/>
            <w:shd w:val="clear" w:color="auto" w:fill="B8CCE4" w:themeFill="accent1" w:themeFillTint="66"/>
            <w:vAlign w:val="center"/>
          </w:tcPr>
          <w:p w:rsidR="001C643B" w:rsidRPr="00CD563E" w:rsidRDefault="001C643B" w:rsidP="001C643B">
            <w:pPr>
              <w:jc w:val="center"/>
              <w:rPr>
                <w:sz w:val="20"/>
                <w:szCs w:val="20"/>
              </w:rPr>
            </w:pPr>
          </w:p>
        </w:tc>
        <w:tc>
          <w:tcPr>
            <w:tcW w:w="3260" w:type="dxa"/>
            <w:vMerge/>
            <w:shd w:val="clear" w:color="auto" w:fill="B8CCE4" w:themeFill="accent1" w:themeFillTint="66"/>
            <w:vAlign w:val="center"/>
          </w:tcPr>
          <w:p w:rsidR="001C643B" w:rsidRPr="00CD563E" w:rsidRDefault="001C643B" w:rsidP="001C643B">
            <w:pPr>
              <w:jc w:val="center"/>
              <w:rPr>
                <w:sz w:val="20"/>
                <w:szCs w:val="20"/>
              </w:rPr>
            </w:pPr>
          </w:p>
        </w:tc>
        <w:tc>
          <w:tcPr>
            <w:tcW w:w="1276" w:type="dxa"/>
            <w:vMerge/>
            <w:shd w:val="clear" w:color="auto" w:fill="B8CCE4" w:themeFill="accent1" w:themeFillTint="66"/>
            <w:vAlign w:val="center"/>
          </w:tcPr>
          <w:p w:rsidR="001C643B" w:rsidRPr="00CD563E" w:rsidRDefault="001C643B" w:rsidP="001C643B">
            <w:pPr>
              <w:jc w:val="center"/>
              <w:rPr>
                <w:sz w:val="20"/>
                <w:szCs w:val="20"/>
              </w:rPr>
            </w:pPr>
          </w:p>
        </w:tc>
        <w:tc>
          <w:tcPr>
            <w:tcW w:w="1559" w:type="dxa"/>
            <w:shd w:val="clear" w:color="auto" w:fill="B8CCE4" w:themeFill="accent1" w:themeFillTint="66"/>
            <w:vAlign w:val="center"/>
          </w:tcPr>
          <w:p w:rsidR="001C643B" w:rsidRPr="00CD563E" w:rsidRDefault="001C643B" w:rsidP="001C643B">
            <w:pPr>
              <w:jc w:val="center"/>
              <w:rPr>
                <w:sz w:val="20"/>
                <w:szCs w:val="20"/>
                <w:lang w:val="fr-BE"/>
              </w:rPr>
            </w:pPr>
            <w:r w:rsidRPr="00CD563E">
              <w:rPr>
                <w:sz w:val="20"/>
                <w:szCs w:val="20"/>
                <w:lang w:val="fr-BE"/>
              </w:rPr>
              <w:t>Moyens du projet supplémentaire (&lt;</w:t>
            </w:r>
            <w:proofErr w:type="spellStart"/>
            <w:r w:rsidRPr="00CD563E">
              <w:rPr>
                <w:sz w:val="20"/>
                <w:szCs w:val="20"/>
                <w:lang w:val="fr-BE"/>
              </w:rPr>
              <w:t>ONEm</w:t>
            </w:r>
            <w:proofErr w:type="spellEnd"/>
            <w:r w:rsidRPr="00CD563E">
              <w:rPr>
                <w:sz w:val="20"/>
                <w:szCs w:val="20"/>
                <w:lang w:val="fr-BE"/>
              </w:rPr>
              <w:t>)</w:t>
            </w:r>
          </w:p>
        </w:tc>
        <w:tc>
          <w:tcPr>
            <w:tcW w:w="1445" w:type="dxa"/>
            <w:shd w:val="clear" w:color="auto" w:fill="B8CCE4" w:themeFill="accent1" w:themeFillTint="66"/>
            <w:vAlign w:val="center"/>
          </w:tcPr>
          <w:p w:rsidR="001C643B" w:rsidRPr="00CD563E" w:rsidRDefault="001C643B" w:rsidP="001C643B">
            <w:pPr>
              <w:jc w:val="center"/>
              <w:rPr>
                <w:sz w:val="20"/>
                <w:szCs w:val="20"/>
                <w:lang w:val="fr-BE"/>
              </w:rPr>
            </w:pPr>
            <w:r w:rsidRPr="00CD563E">
              <w:rPr>
                <w:sz w:val="20"/>
                <w:szCs w:val="20"/>
                <w:lang w:val="fr-BE"/>
              </w:rPr>
              <w:t>Moyens du secteur</w:t>
            </w:r>
          </w:p>
        </w:tc>
      </w:tr>
      <w:tr w:rsidR="001C643B" w:rsidRPr="00CD563E" w:rsidTr="00CD563E">
        <w:trPr>
          <w:trHeight w:val="1230"/>
        </w:trPr>
        <w:tc>
          <w:tcPr>
            <w:tcW w:w="534" w:type="dxa"/>
          </w:tcPr>
          <w:p w:rsidR="001C643B" w:rsidRPr="00CD563E" w:rsidRDefault="001C643B" w:rsidP="00C14EEE">
            <w:pPr>
              <w:rPr>
                <w:sz w:val="20"/>
                <w:szCs w:val="20"/>
              </w:rPr>
            </w:pPr>
            <w:r w:rsidRPr="00CD563E">
              <w:rPr>
                <w:sz w:val="20"/>
                <w:szCs w:val="20"/>
              </w:rPr>
              <w:t>1</w:t>
            </w:r>
          </w:p>
        </w:tc>
        <w:tc>
          <w:tcPr>
            <w:tcW w:w="1701" w:type="dxa"/>
          </w:tcPr>
          <w:p w:rsidR="001C643B" w:rsidRPr="00CD563E" w:rsidRDefault="00306D8E" w:rsidP="00C14EEE">
            <w:pPr>
              <w:rPr>
                <w:sz w:val="20"/>
                <w:szCs w:val="20"/>
                <w:lang w:val="fr-BE"/>
              </w:rPr>
            </w:pPr>
            <w:r w:rsidRPr="00CD563E">
              <w:rPr>
                <w:sz w:val="20"/>
                <w:szCs w:val="20"/>
                <w:lang w:val="fr-BE"/>
              </w:rPr>
              <w:t>Projet « Formations pratiques pour les jeunes – carrosserie »</w:t>
            </w:r>
          </w:p>
        </w:tc>
        <w:tc>
          <w:tcPr>
            <w:tcW w:w="4819" w:type="dxa"/>
          </w:tcPr>
          <w:p w:rsidR="00306D8E" w:rsidRPr="00CD563E" w:rsidRDefault="00306D8E" w:rsidP="00306D8E">
            <w:pPr>
              <w:rPr>
                <w:sz w:val="20"/>
                <w:szCs w:val="20"/>
                <w:lang w:val="fr-BE"/>
              </w:rPr>
            </w:pPr>
            <w:r w:rsidRPr="00CD563E">
              <w:rPr>
                <w:sz w:val="20"/>
                <w:szCs w:val="20"/>
                <w:lang w:val="fr-BE"/>
              </w:rPr>
              <w:t>Dans le cadre de nos collaborations avec les organismes de formation initiale professionnelle et avec l’enseignement, nous avons constaté que les jeunes terminant leur formation en carrosserie peinent à trouver un emploi car ils manquent</w:t>
            </w:r>
            <w:r w:rsidR="00CD563E">
              <w:rPr>
                <w:sz w:val="20"/>
                <w:szCs w:val="20"/>
                <w:lang w:val="fr-BE"/>
              </w:rPr>
              <w:t xml:space="preserve"> de pratique professionnelle</w:t>
            </w:r>
            <w:r w:rsidRPr="00CD563E">
              <w:rPr>
                <w:sz w:val="20"/>
                <w:szCs w:val="20"/>
                <w:lang w:val="fr-BE"/>
              </w:rPr>
              <w:t xml:space="preserve">. C’est donc un projet visant à atteindre les compétences nécessaires à l’obtention d’un emploi. Deux trajets de formation différents seront donc développés et organisés : </w:t>
            </w:r>
          </w:p>
          <w:p w:rsidR="00306D8E" w:rsidRPr="00CD563E" w:rsidRDefault="00306D8E" w:rsidP="00306D8E">
            <w:pPr>
              <w:pStyle w:val="Lijstalinea"/>
              <w:numPr>
                <w:ilvl w:val="0"/>
                <w:numId w:val="1"/>
              </w:numPr>
              <w:rPr>
                <w:sz w:val="20"/>
                <w:szCs w:val="20"/>
              </w:rPr>
            </w:pPr>
            <w:r w:rsidRPr="00CD563E">
              <w:rPr>
                <w:sz w:val="20"/>
                <w:szCs w:val="20"/>
              </w:rPr>
              <w:t>Un trajet pour les jeunes qui ont peu, ou pas, d’expérience pratique ;</w:t>
            </w:r>
          </w:p>
          <w:p w:rsidR="00306D8E" w:rsidRPr="00CD563E" w:rsidRDefault="00306D8E" w:rsidP="00306D8E">
            <w:pPr>
              <w:pStyle w:val="Lijstalinea"/>
              <w:numPr>
                <w:ilvl w:val="0"/>
                <w:numId w:val="1"/>
              </w:numPr>
              <w:rPr>
                <w:sz w:val="20"/>
                <w:szCs w:val="20"/>
              </w:rPr>
            </w:pPr>
            <w:r w:rsidRPr="00CD563E">
              <w:rPr>
                <w:sz w:val="20"/>
                <w:szCs w:val="20"/>
              </w:rPr>
              <w:t>Un trajet pour les jeunes qui ont déjà eu de la pratique.</w:t>
            </w:r>
          </w:p>
          <w:p w:rsidR="001C643B" w:rsidRPr="00CD563E" w:rsidRDefault="001C643B" w:rsidP="00C14EEE">
            <w:pPr>
              <w:rPr>
                <w:sz w:val="20"/>
                <w:szCs w:val="20"/>
                <w:lang w:val="fr-BE"/>
              </w:rPr>
            </w:pPr>
          </w:p>
        </w:tc>
        <w:tc>
          <w:tcPr>
            <w:tcW w:w="1276" w:type="dxa"/>
          </w:tcPr>
          <w:p w:rsidR="00EE7643" w:rsidRPr="00CD563E" w:rsidRDefault="00EE7643" w:rsidP="00EE7643">
            <w:pPr>
              <w:rPr>
                <w:sz w:val="20"/>
                <w:szCs w:val="20"/>
                <w:lang w:val="fr-BE"/>
              </w:rPr>
            </w:pPr>
            <w:r w:rsidRPr="00CD563E">
              <w:rPr>
                <w:sz w:val="20"/>
                <w:szCs w:val="20"/>
                <w:lang w:val="fr-BE"/>
              </w:rPr>
              <w:t>L’enseignement francophone</w:t>
            </w:r>
          </w:p>
          <w:p w:rsidR="00EE7643" w:rsidRPr="00CD563E" w:rsidRDefault="00EE7643" w:rsidP="00EE7643">
            <w:pPr>
              <w:rPr>
                <w:sz w:val="20"/>
                <w:szCs w:val="20"/>
                <w:lang w:val="fr-BE"/>
              </w:rPr>
            </w:pPr>
            <w:r w:rsidRPr="00CD563E">
              <w:rPr>
                <w:sz w:val="20"/>
                <w:szCs w:val="20"/>
                <w:lang w:val="fr-BE"/>
              </w:rPr>
              <w:t>L’enseignement Néerlandophone</w:t>
            </w:r>
          </w:p>
          <w:p w:rsidR="00306D8E" w:rsidRPr="00CD563E" w:rsidRDefault="00EE7643" w:rsidP="00EE7643">
            <w:pPr>
              <w:rPr>
                <w:sz w:val="20"/>
                <w:szCs w:val="20"/>
                <w:lang w:val="fr-BE"/>
              </w:rPr>
            </w:pPr>
            <w:r w:rsidRPr="00CD563E">
              <w:rPr>
                <w:sz w:val="20"/>
                <w:szCs w:val="20"/>
                <w:lang w:val="fr-BE"/>
              </w:rPr>
              <w:t>Alternance (IFAPME, SYNTRA, SFPME ou IAWM)</w:t>
            </w:r>
          </w:p>
        </w:tc>
        <w:tc>
          <w:tcPr>
            <w:tcW w:w="3260" w:type="dxa"/>
          </w:tcPr>
          <w:p w:rsidR="00306D8E" w:rsidRPr="00CD563E" w:rsidRDefault="00306D8E" w:rsidP="00CD563E">
            <w:pPr>
              <w:rPr>
                <w:sz w:val="20"/>
                <w:szCs w:val="20"/>
                <w:lang w:val="fr-BE"/>
              </w:rPr>
            </w:pPr>
            <w:r w:rsidRPr="00CD563E">
              <w:rPr>
                <w:sz w:val="20"/>
                <w:szCs w:val="20"/>
                <w:lang w:val="fr-BE"/>
              </w:rPr>
              <w:t>Les jeunes en 5</w:t>
            </w:r>
            <w:r w:rsidRPr="00CD563E">
              <w:rPr>
                <w:sz w:val="20"/>
                <w:szCs w:val="20"/>
                <w:vertAlign w:val="superscript"/>
                <w:lang w:val="fr-BE"/>
              </w:rPr>
              <w:t>ième</w:t>
            </w:r>
            <w:r w:rsidRPr="00CD563E">
              <w:rPr>
                <w:sz w:val="20"/>
                <w:szCs w:val="20"/>
                <w:lang w:val="fr-BE"/>
              </w:rPr>
              <w:t xml:space="preserve"> &amp; 6</w:t>
            </w:r>
            <w:r w:rsidRPr="00CD563E">
              <w:rPr>
                <w:sz w:val="20"/>
                <w:szCs w:val="20"/>
                <w:vertAlign w:val="superscript"/>
                <w:lang w:val="fr-BE"/>
              </w:rPr>
              <w:t>ième</w:t>
            </w:r>
            <w:r w:rsidRPr="00CD563E">
              <w:rPr>
                <w:sz w:val="20"/>
                <w:szCs w:val="20"/>
                <w:lang w:val="fr-BE"/>
              </w:rPr>
              <w:t xml:space="preserve">  année professionnelle de l’enseignement à temps plein, option carrosserie</w:t>
            </w:r>
            <w:r w:rsidR="005A711A">
              <w:rPr>
                <w:sz w:val="20"/>
                <w:szCs w:val="20"/>
                <w:lang w:val="fr-BE"/>
              </w:rPr>
              <w:t> ;</w:t>
            </w:r>
            <w:r w:rsidRPr="00CD563E">
              <w:rPr>
                <w:sz w:val="20"/>
                <w:szCs w:val="20"/>
                <w:lang w:val="fr-BE"/>
              </w:rPr>
              <w:t> </w:t>
            </w:r>
          </w:p>
          <w:p w:rsidR="00306D8E" w:rsidRPr="00CD563E" w:rsidRDefault="005A711A" w:rsidP="00CD563E">
            <w:pPr>
              <w:rPr>
                <w:sz w:val="20"/>
                <w:szCs w:val="20"/>
                <w:lang w:val="fr-BE"/>
              </w:rPr>
            </w:pPr>
            <w:r>
              <w:rPr>
                <w:sz w:val="20"/>
                <w:szCs w:val="20"/>
                <w:lang w:val="fr-BE"/>
              </w:rPr>
              <w:t>l</w:t>
            </w:r>
            <w:r w:rsidR="00306D8E" w:rsidRPr="00CD563E">
              <w:rPr>
                <w:sz w:val="20"/>
                <w:szCs w:val="20"/>
                <w:lang w:val="fr-BE"/>
              </w:rPr>
              <w:t>es jeunes en dernière année de formation dans l’enseignement à temps partiel (CE</w:t>
            </w:r>
            <w:r>
              <w:rPr>
                <w:sz w:val="20"/>
                <w:szCs w:val="20"/>
                <w:lang w:val="fr-BE"/>
              </w:rPr>
              <w:t>FA et CDO), option carrosserie ;</w:t>
            </w:r>
          </w:p>
          <w:p w:rsidR="00306D8E" w:rsidRPr="00CD563E" w:rsidRDefault="005A711A" w:rsidP="00CD563E">
            <w:pPr>
              <w:rPr>
                <w:sz w:val="20"/>
                <w:szCs w:val="20"/>
                <w:lang w:val="fr-BE"/>
              </w:rPr>
            </w:pPr>
            <w:r>
              <w:rPr>
                <w:sz w:val="20"/>
                <w:szCs w:val="20"/>
                <w:lang w:val="fr-BE"/>
              </w:rPr>
              <w:t>l</w:t>
            </w:r>
            <w:r w:rsidR="00306D8E" w:rsidRPr="00CD563E">
              <w:rPr>
                <w:sz w:val="20"/>
                <w:szCs w:val="20"/>
                <w:lang w:val="fr-BE"/>
              </w:rPr>
              <w:t>es jeunes en dernière année de formation en alternance (apprentis) en carrosserie (jeunes en formation au sein des centres IFAPME, SYNTRA, SFPME ou IAWM).</w:t>
            </w:r>
          </w:p>
          <w:p w:rsidR="001C643B" w:rsidRPr="00CD563E" w:rsidRDefault="001C643B" w:rsidP="00C14EEE">
            <w:pPr>
              <w:rPr>
                <w:sz w:val="20"/>
                <w:szCs w:val="20"/>
                <w:lang w:val="fr-BE"/>
              </w:rPr>
            </w:pPr>
          </w:p>
        </w:tc>
        <w:tc>
          <w:tcPr>
            <w:tcW w:w="1276" w:type="dxa"/>
          </w:tcPr>
          <w:p w:rsidR="001C643B" w:rsidRPr="00CD563E" w:rsidRDefault="00306D8E" w:rsidP="00C14EEE">
            <w:pPr>
              <w:rPr>
                <w:sz w:val="20"/>
                <w:szCs w:val="20"/>
                <w:lang w:val="fr-BE"/>
              </w:rPr>
            </w:pPr>
            <w:r w:rsidRPr="00CD563E">
              <w:rPr>
                <w:sz w:val="20"/>
                <w:szCs w:val="20"/>
                <w:lang w:val="fr-BE"/>
              </w:rPr>
              <w:t>50 jeunes</w:t>
            </w:r>
          </w:p>
        </w:tc>
        <w:tc>
          <w:tcPr>
            <w:tcW w:w="1559" w:type="dxa"/>
          </w:tcPr>
          <w:p w:rsidR="001C643B" w:rsidRPr="00CD563E" w:rsidRDefault="00306D8E" w:rsidP="00C14EEE">
            <w:pPr>
              <w:rPr>
                <w:sz w:val="20"/>
                <w:szCs w:val="20"/>
                <w:lang w:val="fr-BE"/>
              </w:rPr>
            </w:pPr>
            <w:r w:rsidRPr="00CD563E">
              <w:rPr>
                <w:rFonts w:ascii="Calibri" w:hAnsi="Calibri"/>
                <w:color w:val="000000"/>
                <w:sz w:val="20"/>
                <w:szCs w:val="20"/>
              </w:rPr>
              <w:t xml:space="preserve">€ </w:t>
            </w:r>
            <w:r w:rsidR="002F2A3E">
              <w:rPr>
                <w:rFonts w:ascii="Calibri" w:hAnsi="Calibri"/>
                <w:color w:val="000000"/>
                <w:sz w:val="20"/>
                <w:szCs w:val="20"/>
              </w:rPr>
              <w:t>71.201,22</w:t>
            </w:r>
          </w:p>
        </w:tc>
        <w:tc>
          <w:tcPr>
            <w:tcW w:w="1445" w:type="dxa"/>
          </w:tcPr>
          <w:p w:rsidR="001C643B" w:rsidRPr="00CD563E" w:rsidRDefault="00EE7643" w:rsidP="00C14EEE">
            <w:pPr>
              <w:rPr>
                <w:sz w:val="20"/>
                <w:szCs w:val="20"/>
                <w:lang w:val="fr-BE"/>
              </w:rPr>
            </w:pPr>
            <w:r w:rsidRPr="00CD563E">
              <w:rPr>
                <w:sz w:val="20"/>
                <w:szCs w:val="20"/>
                <w:lang w:val="fr-BE"/>
              </w:rPr>
              <w:t>€ 3</w:t>
            </w:r>
            <w:r w:rsidR="002F2A3E">
              <w:rPr>
                <w:sz w:val="20"/>
                <w:szCs w:val="20"/>
                <w:lang w:val="fr-BE"/>
              </w:rPr>
              <w:t>.798,78</w:t>
            </w:r>
          </w:p>
        </w:tc>
      </w:tr>
      <w:tr w:rsidR="00CD563E" w:rsidRPr="00CD563E" w:rsidTr="00CD563E">
        <w:trPr>
          <w:trHeight w:val="983"/>
        </w:trPr>
        <w:tc>
          <w:tcPr>
            <w:tcW w:w="534" w:type="dxa"/>
          </w:tcPr>
          <w:p w:rsidR="001C643B" w:rsidRPr="00CD563E" w:rsidRDefault="001C643B" w:rsidP="00C14EEE">
            <w:pPr>
              <w:rPr>
                <w:sz w:val="20"/>
                <w:szCs w:val="20"/>
              </w:rPr>
            </w:pPr>
            <w:r w:rsidRPr="00CD563E">
              <w:rPr>
                <w:sz w:val="20"/>
                <w:szCs w:val="20"/>
              </w:rPr>
              <w:t>2</w:t>
            </w:r>
          </w:p>
        </w:tc>
        <w:tc>
          <w:tcPr>
            <w:tcW w:w="1701" w:type="dxa"/>
          </w:tcPr>
          <w:p w:rsidR="001C643B" w:rsidRPr="00CD563E" w:rsidRDefault="00306D8E" w:rsidP="00C14EEE">
            <w:pPr>
              <w:rPr>
                <w:sz w:val="20"/>
                <w:szCs w:val="20"/>
                <w:lang w:val="fr-BE"/>
              </w:rPr>
            </w:pPr>
            <w:r w:rsidRPr="00CD563E">
              <w:rPr>
                <w:sz w:val="20"/>
                <w:szCs w:val="20"/>
                <w:lang w:val="fr-BE"/>
              </w:rPr>
              <w:t>Projet « Épreuves sectorielles pour les jeunes – carrosserie »</w:t>
            </w:r>
          </w:p>
        </w:tc>
        <w:tc>
          <w:tcPr>
            <w:tcW w:w="4819" w:type="dxa"/>
          </w:tcPr>
          <w:p w:rsidR="001C643B" w:rsidRPr="00CD563E" w:rsidRDefault="00306D8E" w:rsidP="00CD563E">
            <w:pPr>
              <w:rPr>
                <w:sz w:val="20"/>
                <w:szCs w:val="20"/>
                <w:lang w:val="fr-BE"/>
              </w:rPr>
            </w:pPr>
            <w:r w:rsidRPr="00CD563E">
              <w:rPr>
                <w:sz w:val="20"/>
                <w:szCs w:val="20"/>
                <w:lang w:val="fr-BE"/>
              </w:rPr>
              <w:t>Grâce à notre partenariat avec l’IFAPME, le SFPME et l’IAWM, nous avons réalisé des épreuves sectorielles en carrosserie (préparation -</w:t>
            </w:r>
            <w:r w:rsidR="00CD563E">
              <w:rPr>
                <w:sz w:val="20"/>
                <w:szCs w:val="20"/>
                <w:lang w:val="fr-BE"/>
              </w:rPr>
              <w:t xml:space="preserve"> peinture)</w:t>
            </w:r>
            <w:r w:rsidRPr="00CD563E">
              <w:rPr>
                <w:sz w:val="20"/>
                <w:szCs w:val="20"/>
                <w:lang w:val="fr-BE"/>
              </w:rPr>
              <w:t>. L’objectif de ces épreuves est donc, d’une part, d’évaluer le niveau de compétence du jeune par rapport à ce qui est attendu en entreprise et, d’autre part, de lui fournir une attestation (en cas de réussite) reconnue par les professionnels du secteur. En 2016 et 2017, nous avons fait un projet pilote pour les jeunes issus de l’enseignement francophone. Nous allons réitérer ces actions pour les jeunes de l’enseignement francophone et éventuellement d’autres partenaires, s’ils sont intéressés, notamment SYNTRA, l’enseignement francophone et l’enseignement néerlandophone.</w:t>
            </w:r>
          </w:p>
        </w:tc>
        <w:tc>
          <w:tcPr>
            <w:tcW w:w="1276" w:type="dxa"/>
          </w:tcPr>
          <w:p w:rsidR="001C643B" w:rsidRPr="00CD563E" w:rsidRDefault="00EE7643" w:rsidP="00C14EEE">
            <w:pPr>
              <w:rPr>
                <w:sz w:val="20"/>
                <w:szCs w:val="20"/>
                <w:lang w:val="fr-BE"/>
              </w:rPr>
            </w:pPr>
            <w:r w:rsidRPr="00CD563E">
              <w:rPr>
                <w:sz w:val="20"/>
                <w:szCs w:val="20"/>
                <w:lang w:val="fr-BE"/>
              </w:rPr>
              <w:t>L’enseignement francophone</w:t>
            </w:r>
          </w:p>
          <w:p w:rsidR="00EE7643" w:rsidRPr="00CD563E" w:rsidRDefault="00EE7643" w:rsidP="00C14EEE">
            <w:pPr>
              <w:rPr>
                <w:sz w:val="20"/>
                <w:szCs w:val="20"/>
                <w:lang w:val="fr-BE"/>
              </w:rPr>
            </w:pPr>
            <w:r w:rsidRPr="00CD563E">
              <w:rPr>
                <w:sz w:val="20"/>
                <w:szCs w:val="20"/>
                <w:lang w:val="fr-BE"/>
              </w:rPr>
              <w:t>L’enseignement Néerlandophone</w:t>
            </w:r>
          </w:p>
          <w:p w:rsidR="00EE7643" w:rsidRPr="00CD563E" w:rsidRDefault="00EE7643" w:rsidP="00C14EEE">
            <w:pPr>
              <w:rPr>
                <w:sz w:val="20"/>
                <w:szCs w:val="20"/>
                <w:lang w:val="fr-BE"/>
              </w:rPr>
            </w:pPr>
            <w:r w:rsidRPr="00CD563E">
              <w:rPr>
                <w:sz w:val="20"/>
                <w:szCs w:val="20"/>
                <w:lang w:val="fr-BE"/>
              </w:rPr>
              <w:t>Alternance (SYNTRA)</w:t>
            </w:r>
          </w:p>
        </w:tc>
        <w:tc>
          <w:tcPr>
            <w:tcW w:w="3260" w:type="dxa"/>
          </w:tcPr>
          <w:p w:rsidR="001C643B" w:rsidRPr="00CD563E" w:rsidRDefault="00306D8E" w:rsidP="00C14EEE">
            <w:pPr>
              <w:rPr>
                <w:sz w:val="20"/>
                <w:szCs w:val="20"/>
                <w:lang w:val="fr-BE"/>
              </w:rPr>
            </w:pPr>
            <w:r w:rsidRPr="00CD563E">
              <w:rPr>
                <w:sz w:val="20"/>
                <w:szCs w:val="20"/>
                <w:lang w:val="fr-BE"/>
              </w:rPr>
              <w:t>Les jeunes en dernière année de formation « carrosserie » au sein de SYNTRA et/ou de l’enseignement professionnel francophone ou néerlandophone.</w:t>
            </w:r>
          </w:p>
        </w:tc>
        <w:tc>
          <w:tcPr>
            <w:tcW w:w="1276" w:type="dxa"/>
          </w:tcPr>
          <w:p w:rsidR="001C643B" w:rsidRPr="00CD563E" w:rsidRDefault="00EE7643" w:rsidP="00C14EEE">
            <w:pPr>
              <w:rPr>
                <w:sz w:val="20"/>
                <w:szCs w:val="20"/>
                <w:lang w:val="fr-BE"/>
              </w:rPr>
            </w:pPr>
            <w:r w:rsidRPr="00CD563E">
              <w:rPr>
                <w:sz w:val="20"/>
                <w:szCs w:val="20"/>
                <w:lang w:val="fr-BE"/>
              </w:rPr>
              <w:t>100 jeunes</w:t>
            </w:r>
          </w:p>
        </w:tc>
        <w:tc>
          <w:tcPr>
            <w:tcW w:w="1559" w:type="dxa"/>
          </w:tcPr>
          <w:p w:rsidR="00306D8E" w:rsidRPr="00CD563E" w:rsidRDefault="00306D8E" w:rsidP="00306D8E">
            <w:pPr>
              <w:rPr>
                <w:rFonts w:ascii="Calibri" w:hAnsi="Calibri"/>
                <w:color w:val="000000"/>
                <w:sz w:val="20"/>
                <w:szCs w:val="20"/>
              </w:rPr>
            </w:pPr>
            <w:r w:rsidRPr="00CD563E">
              <w:rPr>
                <w:rFonts w:ascii="Calibri" w:hAnsi="Calibri"/>
                <w:color w:val="000000"/>
                <w:sz w:val="20"/>
                <w:szCs w:val="20"/>
              </w:rPr>
              <w:t xml:space="preserve">€ </w:t>
            </w:r>
            <w:r w:rsidR="002F2A3E">
              <w:rPr>
                <w:rFonts w:ascii="Calibri" w:hAnsi="Calibri"/>
                <w:color w:val="000000"/>
                <w:sz w:val="20"/>
                <w:szCs w:val="20"/>
              </w:rPr>
              <w:t>71.201,23</w:t>
            </w:r>
          </w:p>
          <w:p w:rsidR="001C643B" w:rsidRPr="00CD563E" w:rsidRDefault="001C643B" w:rsidP="00C14EEE">
            <w:pPr>
              <w:rPr>
                <w:sz w:val="20"/>
                <w:szCs w:val="20"/>
                <w:lang w:val="fr-BE"/>
              </w:rPr>
            </w:pPr>
          </w:p>
        </w:tc>
        <w:tc>
          <w:tcPr>
            <w:tcW w:w="1445" w:type="dxa"/>
          </w:tcPr>
          <w:p w:rsidR="001C643B" w:rsidRPr="00CD563E" w:rsidRDefault="002F2A3E" w:rsidP="00C14EEE">
            <w:pPr>
              <w:rPr>
                <w:sz w:val="20"/>
                <w:szCs w:val="20"/>
                <w:lang w:val="fr-BE"/>
              </w:rPr>
            </w:pPr>
            <w:r>
              <w:rPr>
                <w:sz w:val="20"/>
                <w:szCs w:val="20"/>
                <w:lang w:val="fr-BE"/>
              </w:rPr>
              <w:t>€ 3.798,78</w:t>
            </w:r>
          </w:p>
        </w:tc>
      </w:tr>
      <w:tr w:rsidR="001C643B" w:rsidRPr="00CD563E" w:rsidTr="00CD563E">
        <w:trPr>
          <w:trHeight w:val="1399"/>
        </w:trPr>
        <w:tc>
          <w:tcPr>
            <w:tcW w:w="534" w:type="dxa"/>
            <w:tcBorders>
              <w:bottom w:val="single" w:sz="4" w:space="0" w:color="auto"/>
            </w:tcBorders>
          </w:tcPr>
          <w:p w:rsidR="001C643B" w:rsidRPr="00CD563E" w:rsidRDefault="001C643B" w:rsidP="00C14EEE">
            <w:pPr>
              <w:rPr>
                <w:sz w:val="20"/>
                <w:szCs w:val="20"/>
              </w:rPr>
            </w:pPr>
            <w:r w:rsidRPr="00CD563E">
              <w:rPr>
                <w:sz w:val="20"/>
                <w:szCs w:val="20"/>
              </w:rPr>
              <w:lastRenderedPageBreak/>
              <w:t>3</w:t>
            </w:r>
          </w:p>
        </w:tc>
        <w:tc>
          <w:tcPr>
            <w:tcW w:w="1701" w:type="dxa"/>
            <w:tcBorders>
              <w:bottom w:val="single" w:sz="4" w:space="0" w:color="auto"/>
            </w:tcBorders>
          </w:tcPr>
          <w:p w:rsidR="001C643B" w:rsidRPr="00CD563E" w:rsidRDefault="00306D8E" w:rsidP="00C14EEE">
            <w:pPr>
              <w:rPr>
                <w:sz w:val="20"/>
                <w:szCs w:val="20"/>
                <w:lang w:val="fr-BE"/>
              </w:rPr>
            </w:pPr>
            <w:r w:rsidRPr="00CD563E">
              <w:rPr>
                <w:sz w:val="20"/>
                <w:szCs w:val="20"/>
                <w:lang w:val="fr-BE"/>
              </w:rPr>
              <w:t>Projet « Formations "Complément nouvelles technologies" pour les jeunes – garages ou pour les jeunes – carrosserie »</w:t>
            </w:r>
          </w:p>
        </w:tc>
        <w:tc>
          <w:tcPr>
            <w:tcW w:w="4819" w:type="dxa"/>
            <w:tcBorders>
              <w:bottom w:val="single" w:sz="4" w:space="0" w:color="auto"/>
            </w:tcBorders>
          </w:tcPr>
          <w:p w:rsidR="00306D8E" w:rsidRPr="00CD563E" w:rsidRDefault="00306D8E" w:rsidP="00306D8E">
            <w:pPr>
              <w:rPr>
                <w:sz w:val="20"/>
                <w:szCs w:val="20"/>
                <w:lang w:val="fr-BE"/>
              </w:rPr>
            </w:pPr>
            <w:r w:rsidRPr="00CD563E">
              <w:rPr>
                <w:sz w:val="20"/>
                <w:szCs w:val="20"/>
                <w:lang w:val="fr-BE"/>
              </w:rPr>
              <w:t xml:space="preserve">Dans le cadre de nos collaborations avec l’enseignement de plein exercice, nous avons constaté que les jeunes terminant leur formation en mécanique et en carrosserie peinent à trouver un emploi car ils n’ont pas acquis toutes les compétences nécessaires relatives aux tâches techniques plus complexes qui leur seront demandées. </w:t>
            </w:r>
          </w:p>
          <w:p w:rsidR="00306D8E" w:rsidRPr="00CD563E" w:rsidRDefault="00306D8E" w:rsidP="00306D8E">
            <w:pPr>
              <w:rPr>
                <w:sz w:val="20"/>
                <w:szCs w:val="20"/>
                <w:lang w:val="fr-BE"/>
              </w:rPr>
            </w:pPr>
            <w:r w:rsidRPr="00CD563E">
              <w:rPr>
                <w:sz w:val="20"/>
                <w:szCs w:val="20"/>
                <w:lang w:val="fr-BE"/>
              </w:rPr>
              <w:t>L’objectif de ce projet est double :</w:t>
            </w:r>
          </w:p>
          <w:p w:rsidR="00CD563E" w:rsidRDefault="00306D8E" w:rsidP="00306D8E">
            <w:pPr>
              <w:pStyle w:val="Lijstalinea"/>
              <w:numPr>
                <w:ilvl w:val="0"/>
                <w:numId w:val="1"/>
              </w:numPr>
              <w:rPr>
                <w:sz w:val="20"/>
                <w:szCs w:val="20"/>
              </w:rPr>
            </w:pPr>
            <w:r w:rsidRPr="00CD563E">
              <w:rPr>
                <w:sz w:val="20"/>
                <w:szCs w:val="20"/>
              </w:rPr>
              <w:t>D’une part, acquérir les compétences relatives à ces no</w:t>
            </w:r>
            <w:r w:rsidR="00CD563E">
              <w:rPr>
                <w:sz w:val="20"/>
                <w:szCs w:val="20"/>
              </w:rPr>
              <w:t>uvelles technologies.</w:t>
            </w:r>
          </w:p>
          <w:p w:rsidR="00306D8E" w:rsidRPr="00CD563E" w:rsidRDefault="00306D8E" w:rsidP="00306D8E">
            <w:pPr>
              <w:pStyle w:val="Lijstalinea"/>
              <w:numPr>
                <w:ilvl w:val="0"/>
                <w:numId w:val="1"/>
              </w:numPr>
              <w:rPr>
                <w:sz w:val="20"/>
                <w:szCs w:val="20"/>
              </w:rPr>
            </w:pPr>
            <w:r w:rsidRPr="00CD563E">
              <w:rPr>
                <w:sz w:val="20"/>
                <w:szCs w:val="20"/>
              </w:rPr>
              <w:t xml:space="preserve">D’autre part, organiser deux périodes de stage afin de créer ce maillon entre la formation et l’emploi. </w:t>
            </w:r>
          </w:p>
          <w:p w:rsidR="001C643B" w:rsidRPr="00CD563E" w:rsidRDefault="001C643B" w:rsidP="00C14EEE">
            <w:pPr>
              <w:rPr>
                <w:sz w:val="20"/>
                <w:szCs w:val="20"/>
                <w:lang w:val="fr-BE"/>
              </w:rPr>
            </w:pPr>
          </w:p>
        </w:tc>
        <w:tc>
          <w:tcPr>
            <w:tcW w:w="1276" w:type="dxa"/>
            <w:tcBorders>
              <w:bottom w:val="single" w:sz="4" w:space="0" w:color="auto"/>
            </w:tcBorders>
          </w:tcPr>
          <w:p w:rsidR="00EE7643" w:rsidRPr="00CD563E" w:rsidRDefault="00EE7643" w:rsidP="00EE7643">
            <w:pPr>
              <w:rPr>
                <w:sz w:val="20"/>
                <w:szCs w:val="20"/>
                <w:lang w:val="fr-BE"/>
              </w:rPr>
            </w:pPr>
            <w:r w:rsidRPr="00CD563E">
              <w:rPr>
                <w:sz w:val="20"/>
                <w:szCs w:val="20"/>
                <w:lang w:val="fr-BE"/>
              </w:rPr>
              <w:t>L’enseignement (temps plein) francophone</w:t>
            </w:r>
          </w:p>
          <w:p w:rsidR="001C643B" w:rsidRPr="00CD563E" w:rsidRDefault="00EE7643" w:rsidP="00EE7643">
            <w:pPr>
              <w:rPr>
                <w:sz w:val="20"/>
                <w:szCs w:val="20"/>
                <w:lang w:val="fr-BE"/>
              </w:rPr>
            </w:pPr>
            <w:r w:rsidRPr="00CD563E">
              <w:rPr>
                <w:sz w:val="20"/>
                <w:szCs w:val="20"/>
                <w:lang w:val="fr-BE"/>
              </w:rPr>
              <w:t>L’enseignement (temps plein) Néerlandophone</w:t>
            </w:r>
          </w:p>
        </w:tc>
        <w:tc>
          <w:tcPr>
            <w:tcW w:w="3260" w:type="dxa"/>
            <w:tcBorders>
              <w:bottom w:val="single" w:sz="4" w:space="0" w:color="auto"/>
            </w:tcBorders>
          </w:tcPr>
          <w:p w:rsidR="00EE7643" w:rsidRPr="00CD563E" w:rsidRDefault="00EE7643" w:rsidP="00EE7643">
            <w:pPr>
              <w:rPr>
                <w:sz w:val="20"/>
                <w:szCs w:val="20"/>
                <w:lang w:val="fr-BE"/>
              </w:rPr>
            </w:pPr>
            <w:r w:rsidRPr="00CD563E">
              <w:rPr>
                <w:sz w:val="20"/>
                <w:szCs w:val="20"/>
                <w:lang w:val="fr-BE"/>
              </w:rPr>
              <w:t xml:space="preserve">Les jeunes ayant terminé leur formation « mécanicien d’entretien », « mécanicien polyvalent » ou « carrosserie » de l’enseignement à temps plein. </w:t>
            </w:r>
          </w:p>
          <w:p w:rsidR="001C643B" w:rsidRPr="00CD563E" w:rsidRDefault="001C643B" w:rsidP="00C14EEE">
            <w:pPr>
              <w:rPr>
                <w:sz w:val="20"/>
                <w:szCs w:val="20"/>
                <w:lang w:val="fr-BE"/>
              </w:rPr>
            </w:pPr>
          </w:p>
        </w:tc>
        <w:tc>
          <w:tcPr>
            <w:tcW w:w="1276" w:type="dxa"/>
            <w:tcBorders>
              <w:bottom w:val="single" w:sz="4" w:space="0" w:color="auto"/>
            </w:tcBorders>
          </w:tcPr>
          <w:p w:rsidR="001C643B" w:rsidRPr="00CD563E" w:rsidRDefault="00EE7643" w:rsidP="00C14EEE">
            <w:pPr>
              <w:rPr>
                <w:sz w:val="20"/>
                <w:szCs w:val="20"/>
                <w:lang w:val="fr-BE"/>
              </w:rPr>
            </w:pPr>
            <w:r w:rsidRPr="00CD563E">
              <w:rPr>
                <w:sz w:val="20"/>
                <w:szCs w:val="20"/>
                <w:lang w:val="fr-BE"/>
              </w:rPr>
              <w:t>30 jeunes</w:t>
            </w:r>
          </w:p>
        </w:tc>
        <w:tc>
          <w:tcPr>
            <w:tcW w:w="1559" w:type="dxa"/>
          </w:tcPr>
          <w:p w:rsidR="00306D8E" w:rsidRPr="00CD563E" w:rsidRDefault="00306D8E" w:rsidP="00306D8E">
            <w:pPr>
              <w:rPr>
                <w:rFonts w:ascii="Calibri" w:hAnsi="Calibri"/>
                <w:color w:val="000000"/>
                <w:sz w:val="20"/>
                <w:szCs w:val="20"/>
              </w:rPr>
            </w:pPr>
            <w:r w:rsidRPr="00CD563E">
              <w:rPr>
                <w:rFonts w:ascii="Calibri" w:hAnsi="Calibri"/>
                <w:color w:val="000000"/>
                <w:sz w:val="20"/>
                <w:szCs w:val="20"/>
              </w:rPr>
              <w:t>€ 18</w:t>
            </w:r>
            <w:r w:rsidR="00EE7643" w:rsidRPr="00CD563E">
              <w:rPr>
                <w:rFonts w:ascii="Calibri" w:hAnsi="Calibri"/>
                <w:color w:val="000000"/>
                <w:sz w:val="20"/>
                <w:szCs w:val="20"/>
              </w:rPr>
              <w:t>5</w:t>
            </w:r>
            <w:r w:rsidR="005D316D">
              <w:rPr>
                <w:rFonts w:ascii="Calibri" w:hAnsi="Calibri"/>
                <w:color w:val="000000"/>
                <w:sz w:val="20"/>
                <w:szCs w:val="20"/>
              </w:rPr>
              <w:t>.</w:t>
            </w:r>
            <w:r w:rsidR="00EE7643" w:rsidRPr="00CD563E">
              <w:rPr>
                <w:rFonts w:ascii="Calibri" w:hAnsi="Calibri"/>
                <w:color w:val="000000"/>
                <w:sz w:val="20"/>
                <w:szCs w:val="20"/>
              </w:rPr>
              <w:t>20</w:t>
            </w:r>
            <w:r w:rsidR="005D316D">
              <w:rPr>
                <w:rFonts w:ascii="Calibri" w:hAnsi="Calibri"/>
                <w:color w:val="000000"/>
                <w:sz w:val="20"/>
                <w:szCs w:val="20"/>
              </w:rPr>
              <w:t>1</w:t>
            </w:r>
            <w:r w:rsidR="002F2A3E">
              <w:rPr>
                <w:rFonts w:ascii="Calibri" w:hAnsi="Calibri"/>
                <w:color w:val="000000"/>
                <w:sz w:val="20"/>
                <w:szCs w:val="20"/>
              </w:rPr>
              <w:t>,22</w:t>
            </w:r>
          </w:p>
          <w:p w:rsidR="001C643B" w:rsidRPr="00CD563E" w:rsidRDefault="001C643B" w:rsidP="00C14EEE">
            <w:pPr>
              <w:rPr>
                <w:sz w:val="20"/>
                <w:szCs w:val="20"/>
                <w:lang w:val="fr-BE"/>
              </w:rPr>
            </w:pPr>
          </w:p>
        </w:tc>
        <w:tc>
          <w:tcPr>
            <w:tcW w:w="1445" w:type="dxa"/>
          </w:tcPr>
          <w:p w:rsidR="001C643B" w:rsidRPr="00CD563E" w:rsidRDefault="002F2A3E" w:rsidP="00C14EEE">
            <w:pPr>
              <w:rPr>
                <w:sz w:val="20"/>
                <w:szCs w:val="20"/>
                <w:lang w:val="fr-BE"/>
              </w:rPr>
            </w:pPr>
            <w:r>
              <w:rPr>
                <w:sz w:val="20"/>
                <w:szCs w:val="20"/>
                <w:lang w:val="fr-BE"/>
              </w:rPr>
              <w:t>€ 3</w:t>
            </w:r>
            <w:r w:rsidR="0028428D">
              <w:rPr>
                <w:sz w:val="20"/>
                <w:szCs w:val="20"/>
                <w:lang w:val="fr-BE"/>
              </w:rPr>
              <w:t>.</w:t>
            </w:r>
            <w:r>
              <w:rPr>
                <w:sz w:val="20"/>
                <w:szCs w:val="20"/>
                <w:lang w:val="fr-BE"/>
              </w:rPr>
              <w:t>798,77</w:t>
            </w:r>
          </w:p>
        </w:tc>
      </w:tr>
      <w:tr w:rsidR="00306D8E" w:rsidRPr="00CD563E" w:rsidTr="00CD563E">
        <w:trPr>
          <w:trHeight w:val="1399"/>
        </w:trPr>
        <w:tc>
          <w:tcPr>
            <w:tcW w:w="534" w:type="dxa"/>
            <w:tcBorders>
              <w:bottom w:val="single" w:sz="4" w:space="0" w:color="auto"/>
            </w:tcBorders>
          </w:tcPr>
          <w:p w:rsidR="00306D8E" w:rsidRPr="00CD563E" w:rsidRDefault="00306D8E" w:rsidP="00C14EEE">
            <w:pPr>
              <w:rPr>
                <w:sz w:val="20"/>
                <w:szCs w:val="20"/>
              </w:rPr>
            </w:pPr>
            <w:r w:rsidRPr="00CD563E">
              <w:rPr>
                <w:sz w:val="20"/>
                <w:szCs w:val="20"/>
              </w:rPr>
              <w:t>4</w:t>
            </w:r>
          </w:p>
        </w:tc>
        <w:tc>
          <w:tcPr>
            <w:tcW w:w="1701" w:type="dxa"/>
            <w:tcBorders>
              <w:bottom w:val="single" w:sz="4" w:space="0" w:color="auto"/>
            </w:tcBorders>
          </w:tcPr>
          <w:p w:rsidR="00306D8E" w:rsidRPr="00CD563E" w:rsidRDefault="00306D8E" w:rsidP="00C14EEE">
            <w:pPr>
              <w:rPr>
                <w:sz w:val="20"/>
                <w:szCs w:val="20"/>
                <w:lang w:val="fr-BE"/>
              </w:rPr>
            </w:pPr>
            <w:r w:rsidRPr="00CD563E">
              <w:rPr>
                <w:sz w:val="20"/>
                <w:szCs w:val="20"/>
                <w:lang w:val="fr-BE"/>
              </w:rPr>
              <w:t>Projet « Formations "</w:t>
            </w:r>
            <w:proofErr w:type="spellStart"/>
            <w:r w:rsidRPr="00CD563E">
              <w:rPr>
                <w:sz w:val="20"/>
                <w:szCs w:val="20"/>
                <w:lang w:val="fr-BE"/>
              </w:rPr>
              <w:t>Motormanagement</w:t>
            </w:r>
            <w:proofErr w:type="spellEnd"/>
            <w:r w:rsidRPr="00CD563E">
              <w:rPr>
                <w:sz w:val="20"/>
                <w:szCs w:val="20"/>
                <w:lang w:val="fr-BE"/>
              </w:rPr>
              <w:t>" pour les jeunes – garages »</w:t>
            </w:r>
          </w:p>
        </w:tc>
        <w:tc>
          <w:tcPr>
            <w:tcW w:w="4819" w:type="dxa"/>
            <w:tcBorders>
              <w:bottom w:val="single" w:sz="4" w:space="0" w:color="auto"/>
            </w:tcBorders>
          </w:tcPr>
          <w:p w:rsidR="00306D8E" w:rsidRPr="00CD563E" w:rsidRDefault="00306D8E" w:rsidP="00306D8E">
            <w:pPr>
              <w:rPr>
                <w:sz w:val="20"/>
                <w:szCs w:val="20"/>
                <w:lang w:val="fr-BE"/>
              </w:rPr>
            </w:pPr>
            <w:r w:rsidRPr="00CD563E">
              <w:rPr>
                <w:sz w:val="20"/>
                <w:szCs w:val="20"/>
                <w:lang w:val="fr-BE"/>
              </w:rPr>
              <w:t>Nous proposons aux jeunes (dans les filières mécaniques) un trajet de formation basé sur des technologies spécifiques peu maîtrisées par les jeunes et pourtant essentielles afin de trouver un emploi, à savoir les techniques relatives au « </w:t>
            </w:r>
            <w:proofErr w:type="spellStart"/>
            <w:r w:rsidRPr="00CD563E">
              <w:rPr>
                <w:sz w:val="20"/>
                <w:szCs w:val="20"/>
                <w:lang w:val="fr-BE"/>
              </w:rPr>
              <w:t>motormanagement</w:t>
            </w:r>
            <w:proofErr w:type="spellEnd"/>
            <w:r w:rsidRPr="00CD563E">
              <w:rPr>
                <w:sz w:val="20"/>
                <w:szCs w:val="20"/>
                <w:lang w:val="fr-BE"/>
              </w:rPr>
              <w:t xml:space="preserve"> ». Nous proposons donc, par un système de formation en ligne couplée à une formation pratique, de remédier à cette situation. </w:t>
            </w:r>
          </w:p>
          <w:p w:rsidR="00306D8E" w:rsidRPr="00CD563E" w:rsidRDefault="00306D8E" w:rsidP="00C14EEE">
            <w:pPr>
              <w:rPr>
                <w:sz w:val="20"/>
                <w:szCs w:val="20"/>
                <w:lang w:val="fr-BE"/>
              </w:rPr>
            </w:pPr>
          </w:p>
        </w:tc>
        <w:tc>
          <w:tcPr>
            <w:tcW w:w="1276" w:type="dxa"/>
            <w:tcBorders>
              <w:bottom w:val="single" w:sz="4" w:space="0" w:color="auto"/>
            </w:tcBorders>
          </w:tcPr>
          <w:p w:rsidR="00CD563E" w:rsidRPr="00CD563E" w:rsidRDefault="00CD563E" w:rsidP="00CD563E">
            <w:pPr>
              <w:rPr>
                <w:sz w:val="20"/>
                <w:szCs w:val="20"/>
                <w:lang w:val="fr-BE"/>
              </w:rPr>
            </w:pPr>
            <w:r w:rsidRPr="00CD563E">
              <w:rPr>
                <w:sz w:val="20"/>
                <w:szCs w:val="20"/>
                <w:lang w:val="fr-BE"/>
              </w:rPr>
              <w:t>L’enseignement francophone</w:t>
            </w:r>
          </w:p>
          <w:p w:rsidR="00CD563E" w:rsidRPr="00CD563E" w:rsidRDefault="00CD563E" w:rsidP="00CD563E">
            <w:pPr>
              <w:rPr>
                <w:sz w:val="20"/>
                <w:szCs w:val="20"/>
                <w:lang w:val="fr-BE"/>
              </w:rPr>
            </w:pPr>
            <w:r w:rsidRPr="00CD563E">
              <w:rPr>
                <w:sz w:val="20"/>
                <w:szCs w:val="20"/>
                <w:lang w:val="fr-BE"/>
              </w:rPr>
              <w:t>L’enseignement Néerlandophone</w:t>
            </w:r>
          </w:p>
          <w:p w:rsidR="00306D8E" w:rsidRPr="00CD563E" w:rsidRDefault="00CD563E" w:rsidP="00CD563E">
            <w:pPr>
              <w:rPr>
                <w:sz w:val="20"/>
                <w:szCs w:val="20"/>
                <w:lang w:val="fr-BE"/>
              </w:rPr>
            </w:pPr>
            <w:r w:rsidRPr="00CD563E">
              <w:rPr>
                <w:sz w:val="20"/>
                <w:szCs w:val="20"/>
                <w:lang w:val="fr-BE"/>
              </w:rPr>
              <w:t>Alternance (IFAPME, SYNTRA, SFPME ou IAWM)</w:t>
            </w:r>
          </w:p>
        </w:tc>
        <w:tc>
          <w:tcPr>
            <w:tcW w:w="3260" w:type="dxa"/>
            <w:tcBorders>
              <w:bottom w:val="single" w:sz="4" w:space="0" w:color="auto"/>
            </w:tcBorders>
          </w:tcPr>
          <w:p w:rsidR="00EE7643" w:rsidRPr="00CD563E" w:rsidRDefault="00EE7643" w:rsidP="00EE7643">
            <w:pPr>
              <w:rPr>
                <w:sz w:val="20"/>
                <w:szCs w:val="20"/>
                <w:lang w:val="fr-BE"/>
              </w:rPr>
            </w:pPr>
            <w:r w:rsidRPr="00CD563E">
              <w:rPr>
                <w:sz w:val="20"/>
                <w:szCs w:val="20"/>
                <w:lang w:val="fr-BE"/>
              </w:rPr>
              <w:t>Les jeunes en 5</w:t>
            </w:r>
            <w:r w:rsidRPr="00CD563E">
              <w:rPr>
                <w:sz w:val="20"/>
                <w:szCs w:val="20"/>
                <w:vertAlign w:val="superscript"/>
                <w:lang w:val="fr-BE"/>
              </w:rPr>
              <w:t>ième</w:t>
            </w:r>
            <w:r w:rsidRPr="00CD563E">
              <w:rPr>
                <w:sz w:val="20"/>
                <w:szCs w:val="20"/>
                <w:lang w:val="fr-BE"/>
              </w:rPr>
              <w:t xml:space="preserve">  et 6</w:t>
            </w:r>
            <w:r w:rsidRPr="00CD563E">
              <w:rPr>
                <w:sz w:val="20"/>
                <w:szCs w:val="20"/>
                <w:vertAlign w:val="superscript"/>
                <w:lang w:val="fr-BE"/>
              </w:rPr>
              <w:t>ième</w:t>
            </w:r>
            <w:r w:rsidRPr="00CD563E">
              <w:rPr>
                <w:sz w:val="20"/>
                <w:szCs w:val="20"/>
                <w:lang w:val="fr-BE"/>
              </w:rPr>
              <w:t xml:space="preserve"> année professionnelle ou technique de l’enseignement à temps plein, option « mécanicien d’entretien » ou « mécanicien polyvalent » ;</w:t>
            </w:r>
          </w:p>
          <w:p w:rsidR="00EE7643" w:rsidRPr="00CD563E" w:rsidRDefault="00EE7643" w:rsidP="00EE7643">
            <w:pPr>
              <w:rPr>
                <w:sz w:val="20"/>
                <w:szCs w:val="20"/>
                <w:lang w:val="fr-BE"/>
              </w:rPr>
            </w:pPr>
            <w:r w:rsidRPr="00CD563E">
              <w:rPr>
                <w:sz w:val="20"/>
                <w:szCs w:val="20"/>
                <w:lang w:val="fr-BE"/>
              </w:rPr>
              <w:t>Les jeunes en dernière année de formation dans l’enseignement à temps partiel (CEFA et CDO), option « mécanicien d’entretien » ou « mécanicien polyvalent » ;</w:t>
            </w:r>
          </w:p>
          <w:p w:rsidR="00EE7643" w:rsidRPr="00CD563E" w:rsidRDefault="00EE7643" w:rsidP="00EE7643">
            <w:pPr>
              <w:rPr>
                <w:sz w:val="20"/>
                <w:szCs w:val="20"/>
                <w:lang w:val="fr-BE"/>
              </w:rPr>
            </w:pPr>
            <w:r w:rsidRPr="00CD563E">
              <w:rPr>
                <w:sz w:val="20"/>
                <w:szCs w:val="20"/>
                <w:lang w:val="fr-BE"/>
              </w:rPr>
              <w:t>Les jeunes en dernière année de formation en alternance (apprentis), filière « garagiste – réparateur ».</w:t>
            </w:r>
          </w:p>
          <w:p w:rsidR="00306D8E" w:rsidRPr="00CD563E" w:rsidRDefault="00306D8E" w:rsidP="00C14EEE">
            <w:pPr>
              <w:rPr>
                <w:sz w:val="20"/>
                <w:szCs w:val="20"/>
                <w:lang w:val="fr-BE"/>
              </w:rPr>
            </w:pPr>
          </w:p>
        </w:tc>
        <w:tc>
          <w:tcPr>
            <w:tcW w:w="1276" w:type="dxa"/>
            <w:tcBorders>
              <w:bottom w:val="single" w:sz="4" w:space="0" w:color="auto"/>
            </w:tcBorders>
          </w:tcPr>
          <w:p w:rsidR="00306D8E" w:rsidRPr="00CD563E" w:rsidRDefault="00EE7643" w:rsidP="00C14EEE">
            <w:pPr>
              <w:rPr>
                <w:sz w:val="20"/>
                <w:szCs w:val="20"/>
                <w:lang w:val="fr-BE"/>
              </w:rPr>
            </w:pPr>
            <w:r w:rsidRPr="00CD563E">
              <w:rPr>
                <w:sz w:val="20"/>
                <w:szCs w:val="20"/>
                <w:lang w:val="fr-BE"/>
              </w:rPr>
              <w:t>200 jeunes</w:t>
            </w:r>
          </w:p>
        </w:tc>
        <w:tc>
          <w:tcPr>
            <w:tcW w:w="1559" w:type="dxa"/>
          </w:tcPr>
          <w:p w:rsidR="00306D8E" w:rsidRPr="00CD563E" w:rsidRDefault="00306D8E" w:rsidP="00306D8E">
            <w:pPr>
              <w:rPr>
                <w:rFonts w:ascii="Calibri" w:hAnsi="Calibri"/>
                <w:color w:val="000000"/>
                <w:sz w:val="20"/>
                <w:szCs w:val="20"/>
              </w:rPr>
            </w:pPr>
            <w:r w:rsidRPr="00CD563E">
              <w:rPr>
                <w:rFonts w:ascii="Calibri" w:hAnsi="Calibri"/>
                <w:color w:val="000000"/>
                <w:sz w:val="20"/>
                <w:szCs w:val="20"/>
              </w:rPr>
              <w:t xml:space="preserve">€ </w:t>
            </w:r>
            <w:r w:rsidR="002F2A3E">
              <w:rPr>
                <w:rFonts w:ascii="Calibri" w:hAnsi="Calibri"/>
                <w:color w:val="000000"/>
                <w:sz w:val="20"/>
                <w:szCs w:val="20"/>
              </w:rPr>
              <w:t>86.201,22</w:t>
            </w:r>
          </w:p>
          <w:p w:rsidR="00306D8E" w:rsidRPr="00CD563E" w:rsidRDefault="00306D8E" w:rsidP="00C14EEE">
            <w:pPr>
              <w:rPr>
                <w:sz w:val="20"/>
                <w:szCs w:val="20"/>
                <w:lang w:val="fr-BE"/>
              </w:rPr>
            </w:pPr>
          </w:p>
        </w:tc>
        <w:tc>
          <w:tcPr>
            <w:tcW w:w="1445" w:type="dxa"/>
          </w:tcPr>
          <w:p w:rsidR="00306D8E" w:rsidRPr="00CD563E" w:rsidRDefault="002F2A3E" w:rsidP="00C14EEE">
            <w:pPr>
              <w:rPr>
                <w:sz w:val="20"/>
                <w:szCs w:val="20"/>
                <w:lang w:val="fr-BE"/>
              </w:rPr>
            </w:pPr>
            <w:r>
              <w:rPr>
                <w:sz w:val="20"/>
                <w:szCs w:val="20"/>
                <w:lang w:val="fr-BE"/>
              </w:rPr>
              <w:t>€ 3</w:t>
            </w:r>
            <w:r w:rsidR="0028428D">
              <w:rPr>
                <w:sz w:val="20"/>
                <w:szCs w:val="20"/>
                <w:lang w:val="fr-BE"/>
              </w:rPr>
              <w:t>.</w:t>
            </w:r>
            <w:r>
              <w:rPr>
                <w:sz w:val="20"/>
                <w:szCs w:val="20"/>
                <w:lang w:val="fr-BE"/>
              </w:rPr>
              <w:t>798,78</w:t>
            </w:r>
          </w:p>
        </w:tc>
      </w:tr>
      <w:tr w:rsidR="001C643B" w:rsidRPr="00CD563E" w:rsidTr="00CD563E">
        <w:trPr>
          <w:trHeight w:val="707"/>
        </w:trPr>
        <w:tc>
          <w:tcPr>
            <w:tcW w:w="11590" w:type="dxa"/>
            <w:gridSpan w:val="5"/>
            <w:tcBorders>
              <w:left w:val="nil"/>
              <w:bottom w:val="nil"/>
            </w:tcBorders>
          </w:tcPr>
          <w:p w:rsidR="001C643B" w:rsidRPr="00CD563E" w:rsidRDefault="001C643B" w:rsidP="00C14EEE">
            <w:pPr>
              <w:jc w:val="right"/>
              <w:rPr>
                <w:sz w:val="20"/>
                <w:szCs w:val="20"/>
              </w:rPr>
            </w:pPr>
            <w:r w:rsidRPr="00CD563E">
              <w:rPr>
                <w:sz w:val="20"/>
                <w:szCs w:val="20"/>
              </w:rPr>
              <w:t>Total</w:t>
            </w:r>
          </w:p>
        </w:tc>
        <w:tc>
          <w:tcPr>
            <w:tcW w:w="1276" w:type="dxa"/>
          </w:tcPr>
          <w:p w:rsidR="001C643B" w:rsidRPr="00CD563E" w:rsidRDefault="00CD563E" w:rsidP="00C14EEE">
            <w:pPr>
              <w:rPr>
                <w:sz w:val="20"/>
                <w:szCs w:val="20"/>
              </w:rPr>
            </w:pPr>
            <w:r w:rsidRPr="00CD563E">
              <w:rPr>
                <w:sz w:val="20"/>
                <w:szCs w:val="20"/>
              </w:rPr>
              <w:t xml:space="preserve">380 </w:t>
            </w:r>
            <w:proofErr w:type="spellStart"/>
            <w:r w:rsidRPr="00CD563E">
              <w:rPr>
                <w:sz w:val="20"/>
                <w:szCs w:val="20"/>
              </w:rPr>
              <w:t>jeunes</w:t>
            </w:r>
            <w:proofErr w:type="spellEnd"/>
          </w:p>
        </w:tc>
        <w:tc>
          <w:tcPr>
            <w:tcW w:w="1559" w:type="dxa"/>
          </w:tcPr>
          <w:p w:rsidR="00EE7643" w:rsidRPr="00CD563E" w:rsidRDefault="00EE7643" w:rsidP="00EE7643">
            <w:pPr>
              <w:rPr>
                <w:rFonts w:ascii="Calibri" w:hAnsi="Calibri"/>
                <w:color w:val="000000"/>
                <w:sz w:val="20"/>
                <w:szCs w:val="20"/>
              </w:rPr>
            </w:pPr>
            <w:r w:rsidRPr="00CD563E">
              <w:rPr>
                <w:rFonts w:ascii="Calibri" w:hAnsi="Calibri"/>
                <w:color w:val="000000"/>
                <w:sz w:val="20"/>
                <w:szCs w:val="20"/>
              </w:rPr>
              <w:t>€ 413.804,89</w:t>
            </w:r>
          </w:p>
          <w:p w:rsidR="001C643B" w:rsidRPr="00CD563E" w:rsidRDefault="001C643B" w:rsidP="00C14EEE">
            <w:pPr>
              <w:rPr>
                <w:sz w:val="20"/>
                <w:szCs w:val="20"/>
              </w:rPr>
            </w:pPr>
          </w:p>
        </w:tc>
        <w:tc>
          <w:tcPr>
            <w:tcW w:w="1445" w:type="dxa"/>
          </w:tcPr>
          <w:p w:rsidR="001C643B" w:rsidRPr="00CD563E" w:rsidRDefault="00CD563E" w:rsidP="00C14EEE">
            <w:pPr>
              <w:rPr>
                <w:sz w:val="20"/>
                <w:szCs w:val="20"/>
              </w:rPr>
            </w:pPr>
            <w:r w:rsidRPr="00CD563E">
              <w:rPr>
                <w:sz w:val="20"/>
                <w:szCs w:val="20"/>
              </w:rPr>
              <w:t>€ 15.195,11</w:t>
            </w:r>
          </w:p>
        </w:tc>
      </w:tr>
    </w:tbl>
    <w:p w:rsidR="003B5287" w:rsidRPr="00CD563E" w:rsidRDefault="0028428D">
      <w:pPr>
        <w:rPr>
          <w:sz w:val="20"/>
          <w:szCs w:val="20"/>
        </w:rPr>
      </w:pPr>
    </w:p>
    <w:sectPr w:rsidR="003B5287" w:rsidRPr="00CD563E" w:rsidSect="001C643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04E72"/>
    <w:multiLevelType w:val="hybridMultilevel"/>
    <w:tmpl w:val="0812D51A"/>
    <w:lvl w:ilvl="0" w:tplc="2A80BD3A">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nsid w:val="747E5670"/>
    <w:multiLevelType w:val="hybridMultilevel"/>
    <w:tmpl w:val="55307960"/>
    <w:lvl w:ilvl="0" w:tplc="A6BE616E">
      <w:start w:val="5"/>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3B"/>
    <w:rsid w:val="00142309"/>
    <w:rsid w:val="001C643B"/>
    <w:rsid w:val="0028428D"/>
    <w:rsid w:val="002F2A3E"/>
    <w:rsid w:val="00306D8E"/>
    <w:rsid w:val="003B3BEA"/>
    <w:rsid w:val="005A711A"/>
    <w:rsid w:val="005D316D"/>
    <w:rsid w:val="00CD563E"/>
    <w:rsid w:val="00D14356"/>
    <w:rsid w:val="00EE76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64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C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06D8E"/>
    <w:pPr>
      <w:spacing w:after="0" w:line="240" w:lineRule="auto"/>
      <w:ind w:left="720"/>
    </w:pPr>
    <w:rPr>
      <w:rFonts w:ascii="Calibri" w:hAnsi="Calibri" w:cs="Times New Roman"/>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64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C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06D8E"/>
    <w:pPr>
      <w:spacing w:after="0" w:line="240" w:lineRule="auto"/>
      <w:ind w:left="720"/>
    </w:pPr>
    <w:rPr>
      <w:rFonts w:ascii="Calibri" w:hAnsi="Calibri" w:cs="Times New Roman"/>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2897">
      <w:bodyDiv w:val="1"/>
      <w:marLeft w:val="0"/>
      <w:marRight w:val="0"/>
      <w:marTop w:val="0"/>
      <w:marBottom w:val="0"/>
      <w:divBdr>
        <w:top w:val="none" w:sz="0" w:space="0" w:color="auto"/>
        <w:left w:val="none" w:sz="0" w:space="0" w:color="auto"/>
        <w:bottom w:val="none" w:sz="0" w:space="0" w:color="auto"/>
        <w:right w:val="none" w:sz="0" w:space="0" w:color="auto"/>
      </w:divBdr>
    </w:div>
    <w:div w:id="115099906">
      <w:bodyDiv w:val="1"/>
      <w:marLeft w:val="0"/>
      <w:marRight w:val="0"/>
      <w:marTop w:val="0"/>
      <w:marBottom w:val="0"/>
      <w:divBdr>
        <w:top w:val="none" w:sz="0" w:space="0" w:color="auto"/>
        <w:left w:val="none" w:sz="0" w:space="0" w:color="auto"/>
        <w:bottom w:val="none" w:sz="0" w:space="0" w:color="auto"/>
        <w:right w:val="none" w:sz="0" w:space="0" w:color="auto"/>
      </w:divBdr>
    </w:div>
    <w:div w:id="328410786">
      <w:bodyDiv w:val="1"/>
      <w:marLeft w:val="0"/>
      <w:marRight w:val="0"/>
      <w:marTop w:val="0"/>
      <w:marBottom w:val="0"/>
      <w:divBdr>
        <w:top w:val="none" w:sz="0" w:space="0" w:color="auto"/>
        <w:left w:val="none" w:sz="0" w:space="0" w:color="auto"/>
        <w:bottom w:val="none" w:sz="0" w:space="0" w:color="auto"/>
        <w:right w:val="none" w:sz="0" w:space="0" w:color="auto"/>
      </w:divBdr>
    </w:div>
    <w:div w:id="760879113">
      <w:bodyDiv w:val="1"/>
      <w:marLeft w:val="0"/>
      <w:marRight w:val="0"/>
      <w:marTop w:val="0"/>
      <w:marBottom w:val="0"/>
      <w:divBdr>
        <w:top w:val="none" w:sz="0" w:space="0" w:color="auto"/>
        <w:left w:val="none" w:sz="0" w:space="0" w:color="auto"/>
        <w:bottom w:val="none" w:sz="0" w:space="0" w:color="auto"/>
        <w:right w:val="none" w:sz="0" w:space="0" w:color="auto"/>
      </w:divBdr>
    </w:div>
    <w:div w:id="1017659837">
      <w:bodyDiv w:val="1"/>
      <w:marLeft w:val="0"/>
      <w:marRight w:val="0"/>
      <w:marTop w:val="0"/>
      <w:marBottom w:val="0"/>
      <w:divBdr>
        <w:top w:val="none" w:sz="0" w:space="0" w:color="auto"/>
        <w:left w:val="none" w:sz="0" w:space="0" w:color="auto"/>
        <w:bottom w:val="none" w:sz="0" w:space="0" w:color="auto"/>
        <w:right w:val="none" w:sz="0" w:space="0" w:color="auto"/>
      </w:divBdr>
    </w:div>
    <w:div w:id="1137406656">
      <w:bodyDiv w:val="1"/>
      <w:marLeft w:val="0"/>
      <w:marRight w:val="0"/>
      <w:marTop w:val="0"/>
      <w:marBottom w:val="0"/>
      <w:divBdr>
        <w:top w:val="none" w:sz="0" w:space="0" w:color="auto"/>
        <w:left w:val="none" w:sz="0" w:space="0" w:color="auto"/>
        <w:bottom w:val="none" w:sz="0" w:space="0" w:color="auto"/>
        <w:right w:val="none" w:sz="0" w:space="0" w:color="auto"/>
      </w:divBdr>
    </w:div>
    <w:div w:id="1261374322">
      <w:bodyDiv w:val="1"/>
      <w:marLeft w:val="0"/>
      <w:marRight w:val="0"/>
      <w:marTop w:val="0"/>
      <w:marBottom w:val="0"/>
      <w:divBdr>
        <w:top w:val="none" w:sz="0" w:space="0" w:color="auto"/>
        <w:left w:val="none" w:sz="0" w:space="0" w:color="auto"/>
        <w:bottom w:val="none" w:sz="0" w:space="0" w:color="auto"/>
        <w:right w:val="none" w:sz="0" w:space="0" w:color="auto"/>
      </w:divBdr>
    </w:div>
    <w:div w:id="1998919579">
      <w:bodyDiv w:val="1"/>
      <w:marLeft w:val="0"/>
      <w:marRight w:val="0"/>
      <w:marTop w:val="0"/>
      <w:marBottom w:val="0"/>
      <w:divBdr>
        <w:top w:val="none" w:sz="0" w:space="0" w:color="auto"/>
        <w:left w:val="none" w:sz="0" w:space="0" w:color="auto"/>
        <w:bottom w:val="none" w:sz="0" w:space="0" w:color="auto"/>
        <w:right w:val="none" w:sz="0" w:space="0" w:color="auto"/>
      </w:divBdr>
    </w:div>
    <w:div w:id="207824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3793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Werkgelegenheid, Arbeid en Sociaal Overleg</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SCHEERLINCK Frederik</dc:creator>
  <cp:lastModifiedBy>SCHEERLINCK Frederik</cp:lastModifiedBy>
  <cp:revision>4</cp:revision>
  <dcterms:created xsi:type="dcterms:W3CDTF">2018-02-06T11:36:00Z</dcterms:created>
  <dcterms:modified xsi:type="dcterms:W3CDTF">2018-02-06T11:46:00Z</dcterms:modified>
</cp:coreProperties>
</file>