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B64A" w14:textId="77777777" w:rsidR="00575012" w:rsidRDefault="00575012">
      <w:pPr>
        <w:rPr>
          <w:u w:val="single"/>
        </w:rPr>
      </w:pPr>
    </w:p>
    <w:p w14:paraId="6DE717B6" w14:textId="5F3C8B2D" w:rsidR="00575012" w:rsidRPr="00DB3E1F" w:rsidRDefault="004C07DB">
      <w:pPr>
        <w:rPr>
          <w:u w:val="single"/>
          <w:lang w:val="fr-BE"/>
        </w:rPr>
      </w:pPr>
      <w:r>
        <w:rPr>
          <w:u w:val="single"/>
          <w:lang w:val="fr-BE"/>
        </w:rPr>
        <w:t>s</w:t>
      </w:r>
      <w:bookmarkStart w:id="0" w:name="_GoBack"/>
      <w:bookmarkEnd w:id="0"/>
      <w:r w:rsidR="00A57FE5" w:rsidRPr="00DB3E1F">
        <w:rPr>
          <w:u w:val="single"/>
          <w:lang w:val="fr-BE"/>
        </w:rPr>
        <w:t>CP 322.01: Projets supplémentaires en faveur des jeunes 2018-2019</w:t>
      </w:r>
    </w:p>
    <w:tbl>
      <w:tblPr>
        <w:tblStyle w:val="Tabelraster"/>
        <w:tblpPr w:leftFromText="141" w:rightFromText="141" w:vertAnchor="page" w:horzAnchor="margin" w:tblpXSpec="center" w:tblpY="2719"/>
        <w:tblW w:w="15870" w:type="dxa"/>
        <w:tblLayout w:type="fixed"/>
        <w:tblLook w:val="04A0" w:firstRow="1" w:lastRow="0" w:firstColumn="1" w:lastColumn="0" w:noHBand="0" w:noVBand="1"/>
      </w:tblPr>
      <w:tblGrid>
        <w:gridCol w:w="534"/>
        <w:gridCol w:w="1701"/>
        <w:gridCol w:w="3543"/>
        <w:gridCol w:w="1560"/>
        <w:gridCol w:w="1984"/>
        <w:gridCol w:w="2268"/>
        <w:gridCol w:w="2268"/>
        <w:gridCol w:w="2012"/>
      </w:tblGrid>
      <w:tr w:rsidR="002C707A" w14:paraId="31046A85" w14:textId="77777777" w:rsidTr="002C707A">
        <w:trPr>
          <w:trHeight w:val="338"/>
        </w:trPr>
        <w:tc>
          <w:tcPr>
            <w:tcW w:w="534" w:type="dxa"/>
            <w:vMerge w:val="restart"/>
            <w:tcBorders>
              <w:top w:val="nil"/>
              <w:left w:val="nil"/>
            </w:tcBorders>
          </w:tcPr>
          <w:p w14:paraId="5585916F" w14:textId="77777777" w:rsidR="002C707A" w:rsidRPr="00DB3E1F" w:rsidRDefault="002C707A" w:rsidP="002C707A">
            <w:pPr>
              <w:rPr>
                <w:lang w:val="fr-BE"/>
              </w:rPr>
            </w:pPr>
          </w:p>
        </w:tc>
        <w:tc>
          <w:tcPr>
            <w:tcW w:w="1701" w:type="dxa"/>
            <w:vMerge w:val="restart"/>
            <w:shd w:val="clear" w:color="auto" w:fill="B8CCE4" w:themeFill="accent1" w:themeFillTint="66"/>
            <w:vAlign w:val="center"/>
          </w:tcPr>
          <w:p w14:paraId="002933F5" w14:textId="77777777" w:rsidR="002C707A" w:rsidRDefault="002C707A" w:rsidP="002C707A">
            <w:pPr>
              <w:jc w:val="center"/>
            </w:pPr>
            <w:r>
              <w:t xml:space="preserve">Intitulé de </w:t>
            </w:r>
            <w:proofErr w:type="spellStart"/>
            <w:r>
              <w:t>l'action</w:t>
            </w:r>
            <w:proofErr w:type="spellEnd"/>
          </w:p>
        </w:tc>
        <w:tc>
          <w:tcPr>
            <w:tcW w:w="3543" w:type="dxa"/>
            <w:vMerge w:val="restart"/>
            <w:shd w:val="clear" w:color="auto" w:fill="B8CCE4" w:themeFill="accent1" w:themeFillTint="66"/>
            <w:vAlign w:val="center"/>
          </w:tcPr>
          <w:p w14:paraId="47BAEF4E" w14:textId="77777777" w:rsidR="002C707A" w:rsidRDefault="002C707A" w:rsidP="002C707A">
            <w:pPr>
              <w:jc w:val="center"/>
            </w:pPr>
            <w:r>
              <w:t>Objectifs poursuivis</w:t>
            </w:r>
          </w:p>
        </w:tc>
        <w:tc>
          <w:tcPr>
            <w:tcW w:w="1560" w:type="dxa"/>
            <w:vMerge w:val="restart"/>
            <w:shd w:val="clear" w:color="auto" w:fill="B8CCE4" w:themeFill="accent1" w:themeFillTint="66"/>
            <w:vAlign w:val="center"/>
          </w:tcPr>
          <w:p w14:paraId="697B711B" w14:textId="77777777" w:rsidR="002C707A" w:rsidRPr="00DB3E1F" w:rsidRDefault="002C707A" w:rsidP="002C707A">
            <w:pPr>
              <w:jc w:val="center"/>
              <w:rPr>
                <w:lang w:val="fr-BE"/>
              </w:rPr>
            </w:pPr>
            <w:r w:rsidRPr="00DB3E1F">
              <w:rPr>
                <w:lang w:val="fr-BE"/>
              </w:rPr>
              <w:t>Collaboration (s) avec… (d’autres organisations)</w:t>
            </w:r>
          </w:p>
        </w:tc>
        <w:tc>
          <w:tcPr>
            <w:tcW w:w="1984" w:type="dxa"/>
            <w:vMerge w:val="restart"/>
            <w:shd w:val="clear" w:color="auto" w:fill="B8CCE4" w:themeFill="accent1" w:themeFillTint="66"/>
            <w:vAlign w:val="center"/>
          </w:tcPr>
          <w:p w14:paraId="3FAF0501" w14:textId="77777777" w:rsidR="002C707A" w:rsidRDefault="002C707A" w:rsidP="002C707A">
            <w:pPr>
              <w:jc w:val="center"/>
            </w:pPr>
            <w:r>
              <w:t xml:space="preserve">Groupe </w:t>
            </w:r>
            <w:proofErr w:type="spellStart"/>
            <w:r>
              <w:t>cible</w:t>
            </w:r>
            <w:proofErr w:type="spellEnd"/>
          </w:p>
        </w:tc>
        <w:tc>
          <w:tcPr>
            <w:tcW w:w="2268" w:type="dxa"/>
            <w:vMerge w:val="restart"/>
            <w:shd w:val="clear" w:color="auto" w:fill="B8CCE4" w:themeFill="accent1" w:themeFillTint="66"/>
            <w:vAlign w:val="center"/>
          </w:tcPr>
          <w:p w14:paraId="385FDC4B" w14:textId="77777777" w:rsidR="002C707A" w:rsidRDefault="002C707A" w:rsidP="002C707A">
            <w:pPr>
              <w:jc w:val="center"/>
            </w:pPr>
            <w:r>
              <w:t>Nombre de participants envisagé</w:t>
            </w:r>
          </w:p>
        </w:tc>
        <w:tc>
          <w:tcPr>
            <w:tcW w:w="4280" w:type="dxa"/>
            <w:gridSpan w:val="2"/>
            <w:shd w:val="clear" w:color="auto" w:fill="B8CCE4" w:themeFill="accent1" w:themeFillTint="66"/>
            <w:vAlign w:val="center"/>
          </w:tcPr>
          <w:p w14:paraId="5092F66C" w14:textId="77777777" w:rsidR="002C707A" w:rsidRDefault="002C707A" w:rsidP="002C707A">
            <w:pPr>
              <w:jc w:val="center"/>
            </w:pPr>
            <w:r>
              <w:t>Coût de l'action</w:t>
            </w:r>
          </w:p>
        </w:tc>
      </w:tr>
      <w:tr w:rsidR="002C707A" w14:paraId="2307AED3" w14:textId="77777777" w:rsidTr="002C707A">
        <w:trPr>
          <w:trHeight w:val="338"/>
        </w:trPr>
        <w:tc>
          <w:tcPr>
            <w:tcW w:w="534" w:type="dxa"/>
            <w:vMerge/>
            <w:tcBorders>
              <w:left w:val="nil"/>
            </w:tcBorders>
          </w:tcPr>
          <w:p w14:paraId="11774FA1" w14:textId="77777777" w:rsidR="002C707A" w:rsidRDefault="002C707A" w:rsidP="002C707A"/>
        </w:tc>
        <w:tc>
          <w:tcPr>
            <w:tcW w:w="1701" w:type="dxa"/>
            <w:vMerge/>
            <w:shd w:val="clear" w:color="auto" w:fill="B8CCE4" w:themeFill="accent1" w:themeFillTint="66"/>
            <w:vAlign w:val="center"/>
          </w:tcPr>
          <w:p w14:paraId="293688C4" w14:textId="77777777" w:rsidR="002C707A" w:rsidRDefault="002C707A" w:rsidP="002C707A">
            <w:pPr>
              <w:jc w:val="center"/>
            </w:pPr>
          </w:p>
        </w:tc>
        <w:tc>
          <w:tcPr>
            <w:tcW w:w="3543" w:type="dxa"/>
            <w:vMerge/>
            <w:shd w:val="clear" w:color="auto" w:fill="B8CCE4" w:themeFill="accent1" w:themeFillTint="66"/>
            <w:vAlign w:val="center"/>
          </w:tcPr>
          <w:p w14:paraId="2C29804D" w14:textId="77777777" w:rsidR="002C707A" w:rsidRDefault="002C707A" w:rsidP="002C707A">
            <w:pPr>
              <w:jc w:val="center"/>
            </w:pPr>
          </w:p>
        </w:tc>
        <w:tc>
          <w:tcPr>
            <w:tcW w:w="1560" w:type="dxa"/>
            <w:vMerge/>
            <w:shd w:val="clear" w:color="auto" w:fill="B8CCE4" w:themeFill="accent1" w:themeFillTint="66"/>
            <w:vAlign w:val="center"/>
          </w:tcPr>
          <w:p w14:paraId="4F2BCD2F" w14:textId="77777777" w:rsidR="002C707A" w:rsidRDefault="002C707A" w:rsidP="002C707A">
            <w:pPr>
              <w:jc w:val="center"/>
            </w:pPr>
          </w:p>
        </w:tc>
        <w:tc>
          <w:tcPr>
            <w:tcW w:w="1984" w:type="dxa"/>
            <w:vMerge/>
            <w:shd w:val="clear" w:color="auto" w:fill="B8CCE4" w:themeFill="accent1" w:themeFillTint="66"/>
            <w:vAlign w:val="center"/>
          </w:tcPr>
          <w:p w14:paraId="5E6B5B4A" w14:textId="77777777" w:rsidR="002C707A" w:rsidRDefault="002C707A" w:rsidP="002C707A">
            <w:pPr>
              <w:jc w:val="center"/>
            </w:pPr>
          </w:p>
        </w:tc>
        <w:tc>
          <w:tcPr>
            <w:tcW w:w="2268" w:type="dxa"/>
            <w:vMerge/>
            <w:shd w:val="clear" w:color="auto" w:fill="B8CCE4" w:themeFill="accent1" w:themeFillTint="66"/>
            <w:vAlign w:val="center"/>
          </w:tcPr>
          <w:p w14:paraId="579A1034" w14:textId="77777777" w:rsidR="002C707A" w:rsidRDefault="002C707A" w:rsidP="002C707A">
            <w:pPr>
              <w:jc w:val="center"/>
            </w:pPr>
          </w:p>
        </w:tc>
        <w:tc>
          <w:tcPr>
            <w:tcW w:w="2268" w:type="dxa"/>
            <w:shd w:val="clear" w:color="auto" w:fill="B8CCE4" w:themeFill="accent1" w:themeFillTint="66"/>
            <w:vAlign w:val="center"/>
          </w:tcPr>
          <w:p w14:paraId="4C6C916D" w14:textId="77777777" w:rsidR="002C707A" w:rsidRPr="00DB3E1F" w:rsidRDefault="002C707A" w:rsidP="002C707A">
            <w:pPr>
              <w:jc w:val="center"/>
              <w:rPr>
                <w:lang w:val="fr-BE"/>
              </w:rPr>
            </w:pPr>
            <w:r w:rsidRPr="00DB3E1F">
              <w:rPr>
                <w:lang w:val="fr-BE"/>
              </w:rPr>
              <w:t>Moyens du projet supplémentaire (&lt;</w:t>
            </w:r>
            <w:proofErr w:type="spellStart"/>
            <w:r w:rsidRPr="00DB3E1F">
              <w:rPr>
                <w:lang w:val="fr-BE"/>
              </w:rPr>
              <w:t>ONEm</w:t>
            </w:r>
            <w:proofErr w:type="spellEnd"/>
            <w:r w:rsidRPr="00DB3E1F">
              <w:rPr>
                <w:lang w:val="fr-BE"/>
              </w:rPr>
              <w:t>)</w:t>
            </w:r>
          </w:p>
        </w:tc>
        <w:tc>
          <w:tcPr>
            <w:tcW w:w="2012" w:type="dxa"/>
            <w:shd w:val="clear" w:color="auto" w:fill="B8CCE4" w:themeFill="accent1" w:themeFillTint="66"/>
            <w:vAlign w:val="center"/>
          </w:tcPr>
          <w:p w14:paraId="7C13EA12" w14:textId="77777777" w:rsidR="002C707A" w:rsidRDefault="002C707A" w:rsidP="002C707A">
            <w:pPr>
              <w:jc w:val="center"/>
            </w:pPr>
            <w:proofErr w:type="spellStart"/>
            <w:r>
              <w:t>Moyens</w:t>
            </w:r>
            <w:proofErr w:type="spellEnd"/>
            <w:r>
              <w:t xml:space="preserve"> du </w:t>
            </w:r>
            <w:proofErr w:type="spellStart"/>
            <w:r>
              <w:t>secteur</w:t>
            </w:r>
            <w:proofErr w:type="spellEnd"/>
          </w:p>
        </w:tc>
      </w:tr>
      <w:tr w:rsidR="002C707A" w14:paraId="2B73A921" w14:textId="77777777" w:rsidTr="002C707A">
        <w:trPr>
          <w:trHeight w:val="1230"/>
        </w:trPr>
        <w:tc>
          <w:tcPr>
            <w:tcW w:w="534" w:type="dxa"/>
          </w:tcPr>
          <w:p w14:paraId="78CA98E9" w14:textId="77777777" w:rsidR="002C707A" w:rsidRDefault="002C707A" w:rsidP="002C707A">
            <w:r>
              <w:t>1</w:t>
            </w:r>
          </w:p>
        </w:tc>
        <w:tc>
          <w:tcPr>
            <w:tcW w:w="1701" w:type="dxa"/>
          </w:tcPr>
          <w:p w14:paraId="0F590EB2" w14:textId="77777777" w:rsidR="00B061F0" w:rsidRDefault="00B061F0" w:rsidP="00B061F0">
            <w:r>
              <w:t>Contenus d'apprentissage numériques</w:t>
            </w:r>
          </w:p>
          <w:p w14:paraId="66957371" w14:textId="77777777" w:rsidR="00B061F0" w:rsidRDefault="00B061F0" w:rsidP="00B061F0">
            <w:r>
              <w:t>(titre)</w:t>
            </w:r>
          </w:p>
        </w:tc>
        <w:tc>
          <w:tcPr>
            <w:tcW w:w="3543" w:type="dxa"/>
          </w:tcPr>
          <w:p w14:paraId="0E7A9969" w14:textId="77777777" w:rsidR="002C707A" w:rsidRPr="00DB3E1F" w:rsidRDefault="00B061F0" w:rsidP="002C707A">
            <w:pPr>
              <w:rPr>
                <w:lang w:val="fr-BE"/>
              </w:rPr>
            </w:pPr>
            <w:r w:rsidRPr="00DB3E1F">
              <w:rPr>
                <w:lang w:val="fr-BE"/>
              </w:rPr>
              <w:t xml:space="preserve">En collaboration avec nos partenaires externes, le secteur souhaite offrir aux enseignants et élèves des contenus d'apprentissage, via une plate-forme numérique. En procédant de la sorte, nous voulons nous rapprocher de l'univers du jeune encore scolarisé sur le point d'accéder au marché du travail. </w:t>
            </w:r>
          </w:p>
        </w:tc>
        <w:tc>
          <w:tcPr>
            <w:tcW w:w="1560" w:type="dxa"/>
          </w:tcPr>
          <w:p w14:paraId="105BFF14" w14:textId="00908B3E" w:rsidR="002C707A" w:rsidRPr="00DB3E1F" w:rsidRDefault="00B061F0" w:rsidP="002C707A">
            <w:pPr>
              <w:rPr>
                <w:lang w:val="fr-BE"/>
              </w:rPr>
            </w:pPr>
            <w:r w:rsidRPr="00DB3E1F">
              <w:rPr>
                <w:rFonts w:ascii="Calibri" w:hAnsi="Calibri" w:cs="Calibri"/>
                <w:lang w:val="fr-BE"/>
              </w:rPr>
              <w:t>Développeur de logiciels externe+ développeur de contenu externe, acteurs du marché du travail</w:t>
            </w:r>
            <w:r>
              <w:rPr>
                <w:rStyle w:val="Voetnootmarkering"/>
                <w:rFonts w:ascii="Calibri" w:hAnsi="Calibri" w:cs="Calibri"/>
              </w:rPr>
              <w:footnoteReference w:id="1"/>
            </w:r>
            <w:r w:rsidRPr="00DB3E1F">
              <w:rPr>
                <w:rFonts w:ascii="Calibri" w:hAnsi="Calibri" w:cs="Calibri"/>
                <w:lang w:val="fr-BE"/>
              </w:rPr>
              <w:t>, enseignement, partenaires marchés publics, entreprises du secteur, tiers pertinents dans le cadre de l'animation pour la jeunesse</w:t>
            </w:r>
          </w:p>
        </w:tc>
        <w:tc>
          <w:tcPr>
            <w:tcW w:w="1984" w:type="dxa"/>
          </w:tcPr>
          <w:p w14:paraId="34556301" w14:textId="77777777" w:rsidR="002C707A" w:rsidRPr="00DB3E1F" w:rsidRDefault="00B061F0" w:rsidP="002C707A">
            <w:pPr>
              <w:rPr>
                <w:lang w:val="fr-BE"/>
              </w:rPr>
            </w:pPr>
            <w:r w:rsidRPr="00DB3E1F">
              <w:rPr>
                <w:lang w:val="fr-BE"/>
              </w:rPr>
              <w:t>Jeunes, enseignement, acteurs du marché du travail, entreprises</w:t>
            </w:r>
          </w:p>
        </w:tc>
        <w:tc>
          <w:tcPr>
            <w:tcW w:w="2268" w:type="dxa"/>
          </w:tcPr>
          <w:p w14:paraId="4AC3F4CE" w14:textId="77777777" w:rsidR="002C707A" w:rsidRDefault="00B061F0" w:rsidP="002C707A">
            <w:proofErr w:type="spellStart"/>
            <w:r>
              <w:t>Encore</w:t>
            </w:r>
            <w:proofErr w:type="spellEnd"/>
            <w:r>
              <w:t xml:space="preserve"> à </w:t>
            </w:r>
            <w:proofErr w:type="spellStart"/>
            <w:r>
              <w:t>déterminer</w:t>
            </w:r>
            <w:proofErr w:type="spellEnd"/>
            <w:r>
              <w:t xml:space="preserve"> </w:t>
            </w:r>
          </w:p>
        </w:tc>
        <w:tc>
          <w:tcPr>
            <w:tcW w:w="2268" w:type="dxa"/>
          </w:tcPr>
          <w:p w14:paraId="5A935BB3" w14:textId="3B2C2034" w:rsidR="002C707A" w:rsidRDefault="00A57FE5" w:rsidP="002C707A">
            <w:r>
              <w:t>€ 514.029,00</w:t>
            </w:r>
          </w:p>
        </w:tc>
        <w:tc>
          <w:tcPr>
            <w:tcW w:w="2012" w:type="dxa"/>
          </w:tcPr>
          <w:p w14:paraId="6231CC33" w14:textId="77777777" w:rsidR="002C707A" w:rsidRDefault="002C707A" w:rsidP="002C707A"/>
        </w:tc>
      </w:tr>
      <w:tr w:rsidR="002C707A" w14:paraId="13CBEFD1" w14:textId="77777777" w:rsidTr="002C707A">
        <w:trPr>
          <w:trHeight w:val="1701"/>
        </w:trPr>
        <w:tc>
          <w:tcPr>
            <w:tcW w:w="534" w:type="dxa"/>
          </w:tcPr>
          <w:p w14:paraId="0F2C2059" w14:textId="77777777" w:rsidR="002C707A" w:rsidRDefault="002C707A" w:rsidP="002C707A">
            <w:r>
              <w:lastRenderedPageBreak/>
              <w:t>2.</w:t>
            </w:r>
          </w:p>
        </w:tc>
        <w:tc>
          <w:tcPr>
            <w:tcW w:w="1701" w:type="dxa"/>
          </w:tcPr>
          <w:p w14:paraId="2AE1A324" w14:textId="77777777" w:rsidR="00B061F0" w:rsidRDefault="00B061F0" w:rsidP="00B061F0">
            <w:r>
              <w:t>Soft Skills</w:t>
            </w:r>
          </w:p>
          <w:p w14:paraId="2D3C6762" w14:textId="77777777" w:rsidR="00B061F0" w:rsidRDefault="00B061F0" w:rsidP="00B061F0">
            <w:r>
              <w:t>(titre)</w:t>
            </w:r>
          </w:p>
        </w:tc>
        <w:tc>
          <w:tcPr>
            <w:tcW w:w="3543" w:type="dxa"/>
          </w:tcPr>
          <w:p w14:paraId="0156E323" w14:textId="72E98C22" w:rsidR="00B061F0" w:rsidRPr="00DB3E1F" w:rsidRDefault="00B061F0" w:rsidP="00B061F0">
            <w:pPr>
              <w:jc w:val="both"/>
              <w:rPr>
                <w:lang w:val="fr-BE"/>
              </w:rPr>
            </w:pPr>
            <w:r>
              <w:rPr>
                <w:lang w:val="fr"/>
              </w:rPr>
              <w:t xml:space="preserve">Nous remarquons que grâce aux projets précédents, les jeunes s'orientent petit à petit vers le secteur mais que lors de l'engagement, un certain nombre de compétences leur font encore défaut.  Le secteur mise déjà beaucoup sur ses nouveaux entrants en organisant et en subventionnant des formations de 9h-18h. Ces formations concernent toujours les compétences techniques nécessaires pour exercer l'emploi (connaissance des produits, connaissance des matériaux, ergonomie, ...). Il ressort toutefois de nombreux contacts avec les entreprises que chez bon nombre de jeunes, les "soft skills" ne sont pas suffisamment développées pour qu'is puissent exécuter leur job d'aide ménagère convenablement, ce à la différence des personnes un peu plus âgées ou ayant déjà une certaine expérience professionnelle.  Dans le cadre de son fonctionnement actuel, le fonds ne propose pas encore d'offre en matière de 'soft skills'. </w:t>
            </w:r>
          </w:p>
          <w:p w14:paraId="7D546298" w14:textId="77777777" w:rsidR="00B061F0" w:rsidRPr="00DB3E1F" w:rsidRDefault="00B061F0" w:rsidP="00B061F0">
            <w:pPr>
              <w:jc w:val="both"/>
              <w:rPr>
                <w:lang w:val="fr-BE"/>
              </w:rPr>
            </w:pPr>
            <w:proofErr w:type="spellStart"/>
            <w:r>
              <w:rPr>
                <w:lang w:val="fr"/>
              </w:rPr>
              <w:t>Form</w:t>
            </w:r>
            <w:proofErr w:type="spellEnd"/>
            <w:r>
              <w:rPr>
                <w:lang w:val="fr"/>
              </w:rPr>
              <w:t xml:space="preserve"> TS veut dès lors tester 2 formes de formation dans le cadre d'un projet novateur destiné à développer ces soft skills chez ces jeunes.  D'une part, nous voulons </w:t>
            </w:r>
            <w:r>
              <w:rPr>
                <w:lang w:val="fr"/>
              </w:rPr>
              <w:lastRenderedPageBreak/>
              <w:t xml:space="preserve">investir dans une grande bourse (générique) des soft skills pour les jeunes qui débutent.  D'autre part, nous voulons créer une nouvelle offre ouverte dans laquelle les jeunes et les entreprises peuvent suivre des formations spécifiquement au sujet des soft skills;  Il s'agit toujours de formations qui n'ont pas été proposées jusqu'à présent. </w:t>
            </w:r>
          </w:p>
          <w:p w14:paraId="295759DB" w14:textId="77777777" w:rsidR="00B061F0" w:rsidRPr="00DB3E1F" w:rsidRDefault="00B061F0" w:rsidP="00B061F0">
            <w:pPr>
              <w:rPr>
                <w:lang w:val="fr-BE"/>
              </w:rPr>
            </w:pPr>
            <w:r>
              <w:rPr>
                <w:lang w:val="fr"/>
              </w:rPr>
              <w:t xml:space="preserve">La grande bourse a pour objectif de faire prendre conscience de l'importance des soft skills tandis que les formations spécifiques sont destinées à répondre aux demandes concrètes des entreprises et des jeunes. En sensibilisant ces groupes (vulnérables) de jeunes à l'importance de ces soft skills, en les soutenant et en les formant dans ces soft skills qui sont primordiales pour le job, nous créons des conditions supplémentaires d'occupation durable pour eux. </w:t>
            </w:r>
          </w:p>
          <w:p w14:paraId="171EF683" w14:textId="77777777" w:rsidR="002C707A" w:rsidRPr="00DB3E1F" w:rsidRDefault="002C707A" w:rsidP="002C707A">
            <w:pPr>
              <w:rPr>
                <w:lang w:val="fr-BE"/>
              </w:rPr>
            </w:pPr>
          </w:p>
        </w:tc>
        <w:tc>
          <w:tcPr>
            <w:tcW w:w="1560" w:type="dxa"/>
          </w:tcPr>
          <w:p w14:paraId="19E3ABCD" w14:textId="77777777" w:rsidR="002C707A" w:rsidRPr="00DB3E1F" w:rsidRDefault="00B061F0" w:rsidP="002C707A">
            <w:pPr>
              <w:rPr>
                <w:lang w:val="fr-BE"/>
              </w:rPr>
            </w:pPr>
            <w:r w:rsidRPr="00DB3E1F">
              <w:rPr>
                <w:lang w:val="fr-BE"/>
              </w:rPr>
              <w:lastRenderedPageBreak/>
              <w:t>Acteurs du marché du travail, formateurs externes, entreprises, enseignement</w:t>
            </w:r>
          </w:p>
        </w:tc>
        <w:tc>
          <w:tcPr>
            <w:tcW w:w="1984" w:type="dxa"/>
          </w:tcPr>
          <w:p w14:paraId="4E429164" w14:textId="77777777" w:rsidR="002C707A" w:rsidRPr="00DB3E1F" w:rsidRDefault="00B061F0" w:rsidP="002C707A">
            <w:pPr>
              <w:rPr>
                <w:lang w:val="fr-BE"/>
              </w:rPr>
            </w:pPr>
            <w:r w:rsidRPr="00DB3E1F">
              <w:rPr>
                <w:lang w:val="fr-BE"/>
              </w:rPr>
              <w:t>Jeunes, enseignement, acteurs du marché du travail, entreprises</w:t>
            </w:r>
          </w:p>
        </w:tc>
        <w:tc>
          <w:tcPr>
            <w:tcW w:w="2268" w:type="dxa"/>
          </w:tcPr>
          <w:p w14:paraId="6AD092D3" w14:textId="77777777" w:rsidR="002C707A" w:rsidRDefault="00B061F0" w:rsidP="002C707A">
            <w:r>
              <w:t xml:space="preserve">Minimum 800 </w:t>
            </w:r>
            <w:proofErr w:type="spellStart"/>
            <w:r>
              <w:t>jeunes</w:t>
            </w:r>
            <w:proofErr w:type="spellEnd"/>
          </w:p>
        </w:tc>
        <w:tc>
          <w:tcPr>
            <w:tcW w:w="2268" w:type="dxa"/>
          </w:tcPr>
          <w:p w14:paraId="5E9D9F43" w14:textId="67D159A7" w:rsidR="00C570E1" w:rsidRPr="00A57FE5" w:rsidRDefault="00A57FE5" w:rsidP="00C570E1">
            <w:r w:rsidRPr="00A57FE5">
              <w:t>€ 444.489,00</w:t>
            </w:r>
          </w:p>
          <w:p w14:paraId="5FF3BBDC" w14:textId="77777777" w:rsidR="002C707A" w:rsidRDefault="002C707A" w:rsidP="002C707A"/>
        </w:tc>
        <w:tc>
          <w:tcPr>
            <w:tcW w:w="2012" w:type="dxa"/>
          </w:tcPr>
          <w:p w14:paraId="247ABDB1" w14:textId="77777777" w:rsidR="002C707A" w:rsidRDefault="002C707A" w:rsidP="002C707A"/>
        </w:tc>
      </w:tr>
      <w:tr w:rsidR="002C707A" w14:paraId="69B821BF" w14:textId="77777777" w:rsidTr="002C707A">
        <w:trPr>
          <w:trHeight w:val="1399"/>
        </w:trPr>
        <w:tc>
          <w:tcPr>
            <w:tcW w:w="534" w:type="dxa"/>
            <w:tcBorders>
              <w:bottom w:val="single" w:sz="4" w:space="0" w:color="auto"/>
            </w:tcBorders>
          </w:tcPr>
          <w:p w14:paraId="11BBE777" w14:textId="77777777" w:rsidR="002C707A" w:rsidRDefault="002C707A" w:rsidP="002C707A">
            <w:r>
              <w:lastRenderedPageBreak/>
              <w:t>3</w:t>
            </w:r>
          </w:p>
        </w:tc>
        <w:tc>
          <w:tcPr>
            <w:tcW w:w="1701" w:type="dxa"/>
            <w:tcBorders>
              <w:bottom w:val="single" w:sz="4" w:space="0" w:color="auto"/>
            </w:tcBorders>
          </w:tcPr>
          <w:p w14:paraId="70AB7F18" w14:textId="77777777" w:rsidR="002C707A" w:rsidRDefault="00B061F0" w:rsidP="002C707A">
            <w:r>
              <w:t>The New team</w:t>
            </w:r>
          </w:p>
        </w:tc>
        <w:tc>
          <w:tcPr>
            <w:tcW w:w="3543" w:type="dxa"/>
            <w:tcBorders>
              <w:bottom w:val="single" w:sz="4" w:space="0" w:color="auto"/>
            </w:tcBorders>
          </w:tcPr>
          <w:p w14:paraId="7E37A4C4" w14:textId="77777777" w:rsidR="00B061F0" w:rsidRPr="00DB3E1F" w:rsidRDefault="00B061F0" w:rsidP="00B061F0">
            <w:pPr>
              <w:jc w:val="both"/>
              <w:rPr>
                <w:lang w:val="fr-BE"/>
              </w:rPr>
            </w:pPr>
            <w:r w:rsidRPr="00DB3E1F">
              <w:rPr>
                <w:lang w:val="fr-BE"/>
              </w:rPr>
              <w:t xml:space="preserve">“The New team” se compose de jeunes réfugiés formés ayant une prédilection pour le nettoyage, la cuisine et une attitude saine face au travail.  </w:t>
            </w:r>
          </w:p>
          <w:p w14:paraId="37B8E685" w14:textId="77777777" w:rsidR="00B061F0" w:rsidRDefault="00B061F0" w:rsidP="00B061F0">
            <w:pPr>
              <w:jc w:val="both"/>
            </w:pPr>
            <w:r w:rsidRPr="00DB3E1F">
              <w:rPr>
                <w:lang w:val="fr-BE"/>
              </w:rPr>
              <w:t xml:space="preserve">Avec des partenaires de l'enseignement, des pouvoirs </w:t>
            </w:r>
            <w:r w:rsidRPr="00DB3E1F">
              <w:rPr>
                <w:lang w:val="fr-BE"/>
              </w:rPr>
              <w:lastRenderedPageBreak/>
              <w:t xml:space="preserve">publics, des entreprises, des services de l'emploi et de l'administration de la ville, nous voulons développer un trajet novateur et pionnier pour transformer le groupe cible précité de jeunes demandeurs d'emploi en experts en ménage au sens large.  </w:t>
            </w:r>
            <w:r>
              <w:t xml:space="preserve">Les </w:t>
            </w:r>
            <w:proofErr w:type="spellStart"/>
            <w:r>
              <w:t>thèmes</w:t>
            </w:r>
            <w:proofErr w:type="spellEnd"/>
            <w:r>
              <w:t xml:space="preserve"> </w:t>
            </w:r>
            <w:proofErr w:type="spellStart"/>
            <w:r>
              <w:t>suivants</w:t>
            </w:r>
            <w:proofErr w:type="spellEnd"/>
            <w:r>
              <w:t xml:space="preserve"> </w:t>
            </w:r>
            <w:proofErr w:type="spellStart"/>
            <w:r>
              <w:t>seront</w:t>
            </w:r>
            <w:proofErr w:type="spellEnd"/>
            <w:r>
              <w:t xml:space="preserve"> </w:t>
            </w:r>
            <w:proofErr w:type="spellStart"/>
            <w:r>
              <w:t>spécifiquement</w:t>
            </w:r>
            <w:proofErr w:type="spellEnd"/>
            <w:r>
              <w:t xml:space="preserve"> abordés:  </w:t>
            </w:r>
          </w:p>
          <w:p w14:paraId="4B7044C6" w14:textId="7613E2BC" w:rsidR="00B061F0" w:rsidRPr="00DB3E1F" w:rsidRDefault="00B061F0" w:rsidP="00B061F0">
            <w:pPr>
              <w:pStyle w:val="Lijstalinea"/>
              <w:numPr>
                <w:ilvl w:val="0"/>
                <w:numId w:val="1"/>
              </w:numPr>
              <w:rPr>
                <w:lang w:val="fr-BE"/>
              </w:rPr>
            </w:pPr>
            <w:r w:rsidRPr="00DB3E1F">
              <w:rPr>
                <w:b/>
                <w:lang w:val="fr-BE"/>
              </w:rPr>
              <w:t>Barrières linguistiques</w:t>
            </w:r>
            <w:r w:rsidR="00DB3E1F">
              <w:rPr>
                <w:lang w:val="fr-BE"/>
              </w:rPr>
              <w:t xml:space="preserve"> : </w:t>
            </w:r>
            <w:r w:rsidRPr="00DB3E1F">
              <w:rPr>
                <w:lang w:val="fr-BE"/>
              </w:rPr>
              <w:t>éviter les malentendus (1/4 allochtones, groupes à risque)</w:t>
            </w:r>
          </w:p>
          <w:p w14:paraId="2D0B2C35" w14:textId="77777777" w:rsidR="00B061F0" w:rsidRDefault="00B061F0" w:rsidP="00B061F0">
            <w:pPr>
              <w:pStyle w:val="Lijstalinea"/>
              <w:numPr>
                <w:ilvl w:val="0"/>
                <w:numId w:val="1"/>
              </w:numPr>
            </w:pPr>
            <w:proofErr w:type="spellStart"/>
            <w:r w:rsidRPr="00F57D84">
              <w:rPr>
                <w:b/>
              </w:rPr>
              <w:t>Faisabilité</w:t>
            </w:r>
            <w:proofErr w:type="spellEnd"/>
            <w:r>
              <w:t xml:space="preserve"> de </w:t>
            </w:r>
            <w:proofErr w:type="spellStart"/>
            <w:r>
              <w:t>l'emploi</w:t>
            </w:r>
            <w:proofErr w:type="spellEnd"/>
            <w:r>
              <w:t xml:space="preserve"> </w:t>
            </w:r>
          </w:p>
          <w:p w14:paraId="20ABC3A6" w14:textId="77777777" w:rsidR="00B061F0" w:rsidRPr="00DB3E1F" w:rsidRDefault="00B061F0" w:rsidP="00B061F0">
            <w:pPr>
              <w:pStyle w:val="Lijstalinea"/>
              <w:numPr>
                <w:ilvl w:val="0"/>
                <w:numId w:val="1"/>
              </w:numPr>
              <w:rPr>
                <w:lang w:val="fr-BE"/>
              </w:rPr>
            </w:pPr>
            <w:r w:rsidRPr="00DB3E1F">
              <w:rPr>
                <w:b/>
                <w:lang w:val="fr-BE"/>
              </w:rPr>
              <w:t>Image</w:t>
            </w:r>
            <w:r w:rsidRPr="00DB3E1F">
              <w:rPr>
                <w:lang w:val="fr-BE"/>
              </w:rPr>
              <w:t xml:space="preserve"> vis-à-vis des jeunes et du monde extérieur</w:t>
            </w:r>
          </w:p>
          <w:p w14:paraId="787D7B56" w14:textId="1475AC75" w:rsidR="00B061F0" w:rsidRPr="00DB3E1F" w:rsidRDefault="00B061F0" w:rsidP="00B061F0">
            <w:pPr>
              <w:pStyle w:val="Lijstalinea"/>
              <w:numPr>
                <w:ilvl w:val="0"/>
                <w:numId w:val="1"/>
              </w:numPr>
              <w:rPr>
                <w:lang w:val="fr-BE"/>
              </w:rPr>
            </w:pPr>
            <w:r w:rsidRPr="00DB3E1F">
              <w:rPr>
                <w:b/>
                <w:lang w:val="fr-BE"/>
              </w:rPr>
              <w:t>Communication</w:t>
            </w:r>
            <w:r w:rsidRPr="00DB3E1F">
              <w:rPr>
                <w:lang w:val="fr-BE"/>
              </w:rPr>
              <w:t xml:space="preserve"> client / entreprise/ </w:t>
            </w:r>
            <w:proofErr w:type="spellStart"/>
            <w:r w:rsidRPr="00DB3E1F">
              <w:rPr>
                <w:lang w:val="fr-BE"/>
              </w:rPr>
              <w:t>aide ménagère</w:t>
            </w:r>
            <w:proofErr w:type="spellEnd"/>
            <w:r w:rsidRPr="00DB3E1F">
              <w:rPr>
                <w:lang w:val="fr-BE"/>
              </w:rPr>
              <w:t xml:space="preserve"> (les clients sont “l'employeur”/liaison entreprise </w:t>
            </w:r>
            <w:proofErr w:type="spellStart"/>
            <w:r w:rsidRPr="00DB3E1F">
              <w:rPr>
                <w:lang w:val="fr-BE"/>
              </w:rPr>
              <w:t>aide m</w:t>
            </w:r>
            <w:r w:rsidR="00DB3E1F">
              <w:rPr>
                <w:lang w:val="fr-BE"/>
              </w:rPr>
              <w:t>é</w:t>
            </w:r>
            <w:r w:rsidRPr="00DB3E1F">
              <w:rPr>
                <w:lang w:val="fr-BE"/>
              </w:rPr>
              <w:t>nagère</w:t>
            </w:r>
            <w:proofErr w:type="spellEnd"/>
            <w:r w:rsidRPr="00DB3E1F">
              <w:rPr>
                <w:lang w:val="fr-BE"/>
              </w:rPr>
              <w:t>)</w:t>
            </w:r>
          </w:p>
          <w:p w14:paraId="00F18FC0" w14:textId="77777777" w:rsidR="002C707A" w:rsidRPr="00DB3E1F" w:rsidRDefault="00B061F0" w:rsidP="00B061F0">
            <w:pPr>
              <w:pStyle w:val="Lijstalinea"/>
              <w:numPr>
                <w:ilvl w:val="0"/>
                <w:numId w:val="1"/>
              </w:numPr>
              <w:rPr>
                <w:lang w:val="fr-BE"/>
              </w:rPr>
            </w:pPr>
            <w:r w:rsidRPr="00DB3E1F">
              <w:rPr>
                <w:b/>
                <w:lang w:val="fr-BE"/>
              </w:rPr>
              <w:t xml:space="preserve">Mobilité </w:t>
            </w:r>
            <w:r w:rsidRPr="00DB3E1F">
              <w:rPr>
                <w:lang w:val="fr-BE"/>
              </w:rPr>
              <w:t>déplacement entre les clients de manière sûre et responsable</w:t>
            </w:r>
          </w:p>
        </w:tc>
        <w:tc>
          <w:tcPr>
            <w:tcW w:w="1560" w:type="dxa"/>
            <w:tcBorders>
              <w:bottom w:val="single" w:sz="4" w:space="0" w:color="auto"/>
            </w:tcBorders>
          </w:tcPr>
          <w:p w14:paraId="4E2475D1" w14:textId="77777777" w:rsidR="002C707A" w:rsidRPr="00DB3E1F" w:rsidRDefault="00B061F0" w:rsidP="002C707A">
            <w:pPr>
              <w:rPr>
                <w:lang w:val="fr-BE"/>
              </w:rPr>
            </w:pPr>
            <w:r w:rsidRPr="00DB3E1F">
              <w:rPr>
                <w:lang w:val="fr-BE"/>
              </w:rPr>
              <w:lastRenderedPageBreak/>
              <w:t>VDAB, FOREM, Villes et Communes</w:t>
            </w:r>
          </w:p>
        </w:tc>
        <w:tc>
          <w:tcPr>
            <w:tcW w:w="1984" w:type="dxa"/>
            <w:tcBorders>
              <w:bottom w:val="single" w:sz="4" w:space="0" w:color="auto"/>
            </w:tcBorders>
          </w:tcPr>
          <w:p w14:paraId="67C8AE30" w14:textId="77777777" w:rsidR="002C707A" w:rsidRPr="00DB3E1F" w:rsidRDefault="00B061F0" w:rsidP="002C707A">
            <w:pPr>
              <w:rPr>
                <w:lang w:val="fr-BE"/>
              </w:rPr>
            </w:pPr>
            <w:r w:rsidRPr="00DB3E1F">
              <w:rPr>
                <w:lang w:val="fr-BE"/>
              </w:rPr>
              <w:t>Réfugiés de moins de 26 ans</w:t>
            </w:r>
          </w:p>
        </w:tc>
        <w:tc>
          <w:tcPr>
            <w:tcW w:w="2268" w:type="dxa"/>
            <w:tcBorders>
              <w:bottom w:val="single" w:sz="4" w:space="0" w:color="auto"/>
            </w:tcBorders>
          </w:tcPr>
          <w:p w14:paraId="18CF55E2" w14:textId="77777777" w:rsidR="002C707A" w:rsidRDefault="00B061F0" w:rsidP="002C707A">
            <w:r>
              <w:t>40  réfugiés</w:t>
            </w:r>
          </w:p>
        </w:tc>
        <w:tc>
          <w:tcPr>
            <w:tcW w:w="2268" w:type="dxa"/>
          </w:tcPr>
          <w:p w14:paraId="651E8EE6" w14:textId="7E286DB7" w:rsidR="002C707A" w:rsidRDefault="00A57FE5" w:rsidP="002C707A">
            <w:r>
              <w:t>€ 212.514,51</w:t>
            </w:r>
          </w:p>
        </w:tc>
        <w:tc>
          <w:tcPr>
            <w:tcW w:w="2012" w:type="dxa"/>
          </w:tcPr>
          <w:p w14:paraId="605CF88D" w14:textId="77777777" w:rsidR="002C707A" w:rsidRDefault="002C707A" w:rsidP="002C707A"/>
        </w:tc>
      </w:tr>
      <w:tr w:rsidR="002C707A" w14:paraId="5DF0947A" w14:textId="77777777" w:rsidTr="002C707A">
        <w:trPr>
          <w:trHeight w:val="707"/>
        </w:trPr>
        <w:tc>
          <w:tcPr>
            <w:tcW w:w="9322" w:type="dxa"/>
            <w:gridSpan w:val="5"/>
            <w:tcBorders>
              <w:left w:val="nil"/>
              <w:bottom w:val="nil"/>
            </w:tcBorders>
          </w:tcPr>
          <w:p w14:paraId="57F38523" w14:textId="77777777" w:rsidR="002C707A" w:rsidRPr="004A0B40" w:rsidRDefault="002C707A" w:rsidP="002C707A">
            <w:pPr>
              <w:jc w:val="right"/>
              <w:rPr>
                <w:sz w:val="30"/>
                <w:szCs w:val="30"/>
              </w:rPr>
            </w:pPr>
            <w:r w:rsidRPr="004A0B40">
              <w:rPr>
                <w:sz w:val="30"/>
                <w:szCs w:val="30"/>
              </w:rPr>
              <w:lastRenderedPageBreak/>
              <w:t>Total</w:t>
            </w:r>
          </w:p>
        </w:tc>
        <w:tc>
          <w:tcPr>
            <w:tcW w:w="2268" w:type="dxa"/>
          </w:tcPr>
          <w:p w14:paraId="34476702" w14:textId="77777777" w:rsidR="002C707A" w:rsidRDefault="002C707A" w:rsidP="002C707A"/>
        </w:tc>
        <w:tc>
          <w:tcPr>
            <w:tcW w:w="2268" w:type="dxa"/>
          </w:tcPr>
          <w:p w14:paraId="324782A8" w14:textId="77777777" w:rsidR="002C707A" w:rsidRDefault="00C570E1" w:rsidP="002C707A">
            <w:r w:rsidRPr="00C570E1">
              <w:t>€ 1 171 032,51</w:t>
            </w:r>
          </w:p>
        </w:tc>
        <w:tc>
          <w:tcPr>
            <w:tcW w:w="2012" w:type="dxa"/>
          </w:tcPr>
          <w:p w14:paraId="7C6C3315" w14:textId="77777777" w:rsidR="002C707A" w:rsidRDefault="002C707A" w:rsidP="002C707A"/>
        </w:tc>
      </w:tr>
    </w:tbl>
    <w:p w14:paraId="717D033B" w14:textId="77777777" w:rsidR="00575012" w:rsidRPr="00575012" w:rsidRDefault="00575012" w:rsidP="00575012"/>
    <w:p w14:paraId="63F1D263" w14:textId="77777777" w:rsidR="00575012" w:rsidRPr="00575012" w:rsidRDefault="00575012" w:rsidP="00575012"/>
    <w:p w14:paraId="4F2105CB" w14:textId="77777777" w:rsidR="003B5287" w:rsidRPr="00575012" w:rsidRDefault="004C07DB" w:rsidP="002C707A">
      <w:pPr>
        <w:rPr>
          <w:lang w:val="fr-BE"/>
        </w:rPr>
      </w:pPr>
    </w:p>
    <w:sectPr w:rsidR="003B5287" w:rsidRPr="00575012" w:rsidSect="004A0B4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3E060" w14:textId="77777777" w:rsidR="0021799D" w:rsidRDefault="0021799D" w:rsidP="00B061F0">
      <w:pPr>
        <w:spacing w:after="0" w:line="240" w:lineRule="auto"/>
      </w:pPr>
      <w:r>
        <w:separator/>
      </w:r>
    </w:p>
  </w:endnote>
  <w:endnote w:type="continuationSeparator" w:id="0">
    <w:p w14:paraId="7C986A8E" w14:textId="77777777" w:rsidR="0021799D" w:rsidRDefault="0021799D" w:rsidP="00B0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FD0E" w14:textId="77777777" w:rsidR="0021799D" w:rsidRDefault="0021799D" w:rsidP="00B061F0">
      <w:pPr>
        <w:spacing w:after="0" w:line="240" w:lineRule="auto"/>
      </w:pPr>
      <w:r>
        <w:separator/>
      </w:r>
    </w:p>
  </w:footnote>
  <w:footnote w:type="continuationSeparator" w:id="0">
    <w:p w14:paraId="69C5EE14" w14:textId="77777777" w:rsidR="0021799D" w:rsidRDefault="0021799D" w:rsidP="00B061F0">
      <w:pPr>
        <w:spacing w:after="0" w:line="240" w:lineRule="auto"/>
      </w:pPr>
      <w:r>
        <w:continuationSeparator/>
      </w:r>
    </w:p>
  </w:footnote>
  <w:footnote w:id="1">
    <w:p w14:paraId="6F689C71" w14:textId="77777777" w:rsidR="00B061F0" w:rsidRPr="000B68F9" w:rsidRDefault="00B061F0" w:rsidP="00B061F0">
      <w:pPr>
        <w:pStyle w:val="Voetnoottekst"/>
        <w:rPr>
          <w:lang w:val="fr-BE"/>
        </w:rPr>
      </w:pPr>
      <w:r>
        <w:rPr>
          <w:rStyle w:val="Voetnootmarkering"/>
        </w:rPr>
        <w:footnoteRef/>
      </w:r>
      <w:r w:rsidRPr="000B68F9">
        <w:rPr>
          <w:lang w:val="fr-BE"/>
        </w:rPr>
        <w:t xml:space="preserve"> Actiris, ADG, Bruxelles Formation, Forem, VDAB,…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2108"/>
    <w:multiLevelType w:val="hybridMultilevel"/>
    <w:tmpl w:val="9066443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142309"/>
    <w:rsid w:val="0021799D"/>
    <w:rsid w:val="002C707A"/>
    <w:rsid w:val="003B3BEA"/>
    <w:rsid w:val="004A0B40"/>
    <w:rsid w:val="004C07DB"/>
    <w:rsid w:val="00575012"/>
    <w:rsid w:val="007A4849"/>
    <w:rsid w:val="00A57FE5"/>
    <w:rsid w:val="00A76ADA"/>
    <w:rsid w:val="00B061F0"/>
    <w:rsid w:val="00C570E1"/>
    <w:rsid w:val="00DB3E1F"/>
    <w:rsid w:val="00E451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B061F0"/>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rsid w:val="00B061F0"/>
    <w:rPr>
      <w:rFonts w:eastAsiaTheme="minorEastAsia"/>
      <w:sz w:val="20"/>
      <w:szCs w:val="20"/>
      <w:lang w:eastAsia="nl-BE"/>
    </w:rPr>
  </w:style>
  <w:style w:type="character" w:styleId="Voetnootmarkering">
    <w:name w:val="footnote reference"/>
    <w:basedOn w:val="Standaardalinea-lettertype"/>
    <w:uiPriority w:val="99"/>
    <w:semiHidden/>
    <w:unhideWhenUsed/>
    <w:rsid w:val="00B061F0"/>
    <w:rPr>
      <w:vertAlign w:val="superscript"/>
    </w:rPr>
  </w:style>
  <w:style w:type="paragraph" w:styleId="Lijstalinea">
    <w:name w:val="List Paragraph"/>
    <w:basedOn w:val="Standaard"/>
    <w:uiPriority w:val="34"/>
    <w:qFormat/>
    <w:rsid w:val="00B061F0"/>
    <w:pPr>
      <w:ind w:left="720"/>
      <w:contextualSpacing/>
    </w:pPr>
    <w:rPr>
      <w:rFonts w:eastAsiaTheme="minorEastAsia"/>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B061F0"/>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rsid w:val="00B061F0"/>
    <w:rPr>
      <w:rFonts w:eastAsiaTheme="minorEastAsia"/>
      <w:sz w:val="20"/>
      <w:szCs w:val="20"/>
      <w:lang w:eastAsia="nl-BE"/>
    </w:rPr>
  </w:style>
  <w:style w:type="character" w:styleId="Voetnootmarkering">
    <w:name w:val="footnote reference"/>
    <w:basedOn w:val="Standaardalinea-lettertype"/>
    <w:uiPriority w:val="99"/>
    <w:semiHidden/>
    <w:unhideWhenUsed/>
    <w:rsid w:val="00B061F0"/>
    <w:rPr>
      <w:vertAlign w:val="superscript"/>
    </w:rPr>
  </w:style>
  <w:style w:type="paragraph" w:styleId="Lijstalinea">
    <w:name w:val="List Paragraph"/>
    <w:basedOn w:val="Standaard"/>
    <w:uiPriority w:val="34"/>
    <w:qFormat/>
    <w:rsid w:val="00B061F0"/>
    <w:pPr>
      <w:ind w:left="720"/>
      <w:contextualSpacing/>
    </w:pPr>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6566">
      <w:bodyDiv w:val="1"/>
      <w:marLeft w:val="0"/>
      <w:marRight w:val="0"/>
      <w:marTop w:val="0"/>
      <w:marBottom w:val="0"/>
      <w:divBdr>
        <w:top w:val="none" w:sz="0" w:space="0" w:color="auto"/>
        <w:left w:val="none" w:sz="0" w:space="0" w:color="auto"/>
        <w:bottom w:val="none" w:sz="0" w:space="0" w:color="auto"/>
        <w:right w:val="none" w:sz="0" w:space="0" w:color="auto"/>
      </w:divBdr>
    </w:div>
    <w:div w:id="14867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1948F8B9267459AAB9A9E5DDC7A7C" ma:contentTypeVersion="8" ma:contentTypeDescription="Create a new document." ma:contentTypeScope="" ma:versionID="a2036d92b5fcc492430172f7466b7915">
  <xsd:schema xmlns:xsd="http://www.w3.org/2001/XMLSchema" xmlns:xs="http://www.w3.org/2001/XMLSchema" xmlns:p="http://schemas.microsoft.com/office/2006/metadata/properties" xmlns:ns2="c4c55139-8f21-4cdf-a965-4164c96b2c0a" xmlns:ns3="25c466d1-6c21-4795-a149-ed46c30ad847" targetNamespace="http://schemas.microsoft.com/office/2006/metadata/properties" ma:root="true" ma:fieldsID="8b3099e13040bdc6b70f6c2fbee77994" ns2:_="" ns3:_="">
    <xsd:import namespace="c4c55139-8f21-4cdf-a965-4164c96b2c0a"/>
    <xsd:import namespace="25c466d1-6c21-4795-a149-ed46c30ad8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55139-8f21-4cdf-a965-4164c96b2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466d1-6c21-4795-a149-ed46c30ad8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F16DF-5458-40E0-880F-C971C4B3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55139-8f21-4cdf-a965-4164c96b2c0a"/>
    <ds:schemaRef ds:uri="25c466d1-6c21-4795-a149-ed46c30ad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CED07-AA53-4F4E-97FA-E30DB881BD6D}">
  <ds:schemaRefs>
    <ds:schemaRef ds:uri="http://schemas.microsoft.com/sharepoint/v3/contenttype/forms"/>
  </ds:schemaRefs>
</ds:datastoreItem>
</file>

<file path=customXml/itemProps3.xml><?xml version="1.0" encoding="utf-8"?>
<ds:datastoreItem xmlns:ds="http://schemas.openxmlformats.org/officeDocument/2006/customXml" ds:itemID="{FFFAF220-BD68-4198-9E08-8E3C51681AD6}">
  <ds:schemaRefs>
    <ds:schemaRef ds:uri="http://schemas.microsoft.com/office/2006/documentManagement/types"/>
    <ds:schemaRef ds:uri="c4c55139-8f21-4cdf-a965-4164c96b2c0a"/>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25c466d1-6c21-4795-a149-ed46c30ad84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3414</Characters>
  <Application>Microsoft Office Word</Application>
  <DocSecurity>4</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2</cp:revision>
  <dcterms:created xsi:type="dcterms:W3CDTF">2018-02-13T15:49:00Z</dcterms:created>
  <dcterms:modified xsi:type="dcterms:W3CDTF">2018-02-13T15:49:00Z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0x0101008451948F8B9267459AAB9A9E5DDC7A7C</vt:lpwstr>
  </property>
</Properties>
</file>