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Y="1696"/>
        <w:tblW w:w="14249" w:type="dxa"/>
        <w:tblLayout w:type="fixed"/>
        <w:tblLook w:val="04A0" w:firstRow="1" w:lastRow="0" w:firstColumn="1" w:lastColumn="0" w:noHBand="0" w:noVBand="1"/>
      </w:tblPr>
      <w:tblGrid>
        <w:gridCol w:w="534"/>
        <w:gridCol w:w="2018"/>
        <w:gridCol w:w="3402"/>
        <w:gridCol w:w="3085"/>
        <w:gridCol w:w="2443"/>
        <w:gridCol w:w="1276"/>
        <w:gridCol w:w="1491"/>
      </w:tblGrid>
      <w:tr w:rsidR="00945BF6" w:rsidRPr="00945BF6" w:rsidTr="00945BF6">
        <w:trPr>
          <w:trHeight w:val="422"/>
        </w:trPr>
        <w:tc>
          <w:tcPr>
            <w:tcW w:w="534" w:type="dxa"/>
            <w:vMerge w:val="restart"/>
            <w:tcBorders>
              <w:top w:val="nil"/>
              <w:left w:val="nil"/>
            </w:tcBorders>
          </w:tcPr>
          <w:p w:rsidR="00945BF6" w:rsidRPr="00817D05" w:rsidRDefault="00945BF6" w:rsidP="00945BF6">
            <w:pPr>
              <w:rPr>
                <w:rFonts w:cstheme="minorHAnsi"/>
                <w:sz w:val="20"/>
                <w:szCs w:val="20"/>
                <w:lang w:val="fr-BE"/>
              </w:rPr>
            </w:pPr>
            <w:bookmarkStart w:id="0" w:name="_GoBack"/>
            <w:bookmarkEnd w:id="0"/>
          </w:p>
        </w:tc>
        <w:tc>
          <w:tcPr>
            <w:tcW w:w="2018" w:type="dxa"/>
            <w:vMerge w:val="restart"/>
            <w:shd w:val="clear" w:color="auto" w:fill="B8CCE4" w:themeFill="accent1" w:themeFillTint="66"/>
            <w:vAlign w:val="center"/>
          </w:tcPr>
          <w:p w:rsidR="00945BF6" w:rsidRPr="00817D05" w:rsidRDefault="00945BF6" w:rsidP="00945BF6">
            <w:pPr>
              <w:jc w:val="center"/>
              <w:rPr>
                <w:rFonts w:cstheme="minorHAnsi"/>
                <w:sz w:val="20"/>
                <w:szCs w:val="20"/>
              </w:rPr>
            </w:pPr>
            <w:r w:rsidRPr="00817D05">
              <w:rPr>
                <w:rFonts w:cstheme="minorHAnsi"/>
                <w:sz w:val="20"/>
                <w:szCs w:val="20"/>
              </w:rPr>
              <w:t xml:space="preserve">Intitulé de </w:t>
            </w:r>
            <w:proofErr w:type="spellStart"/>
            <w:r w:rsidRPr="00817D05">
              <w:rPr>
                <w:rFonts w:cstheme="minorHAnsi"/>
                <w:sz w:val="20"/>
                <w:szCs w:val="20"/>
              </w:rPr>
              <w:t>l'action</w:t>
            </w:r>
            <w:proofErr w:type="spellEnd"/>
          </w:p>
        </w:tc>
        <w:tc>
          <w:tcPr>
            <w:tcW w:w="3402" w:type="dxa"/>
            <w:vMerge w:val="restart"/>
            <w:shd w:val="clear" w:color="auto" w:fill="B8CCE4" w:themeFill="accent1" w:themeFillTint="66"/>
            <w:vAlign w:val="center"/>
          </w:tcPr>
          <w:p w:rsidR="00945BF6" w:rsidRPr="00817D05" w:rsidRDefault="00945BF6" w:rsidP="00945BF6">
            <w:pPr>
              <w:jc w:val="center"/>
              <w:rPr>
                <w:rFonts w:cstheme="minorHAnsi"/>
                <w:sz w:val="20"/>
                <w:szCs w:val="20"/>
              </w:rPr>
            </w:pPr>
            <w:proofErr w:type="spellStart"/>
            <w:r w:rsidRPr="00817D05">
              <w:rPr>
                <w:rFonts w:cstheme="minorHAnsi"/>
                <w:sz w:val="20"/>
                <w:szCs w:val="20"/>
              </w:rPr>
              <w:t>Objectifs</w:t>
            </w:r>
            <w:proofErr w:type="spellEnd"/>
            <w:r w:rsidRPr="00817D05">
              <w:rPr>
                <w:rFonts w:cstheme="minorHAnsi"/>
                <w:sz w:val="20"/>
                <w:szCs w:val="20"/>
              </w:rPr>
              <w:t xml:space="preserve"> </w:t>
            </w:r>
            <w:proofErr w:type="spellStart"/>
            <w:r w:rsidRPr="00817D05">
              <w:rPr>
                <w:rFonts w:cstheme="minorHAnsi"/>
                <w:sz w:val="20"/>
                <w:szCs w:val="20"/>
              </w:rPr>
              <w:t>poursuivis</w:t>
            </w:r>
            <w:proofErr w:type="spellEnd"/>
          </w:p>
        </w:tc>
        <w:tc>
          <w:tcPr>
            <w:tcW w:w="3085" w:type="dxa"/>
            <w:vMerge w:val="restart"/>
            <w:shd w:val="clear" w:color="auto" w:fill="B8CCE4" w:themeFill="accent1" w:themeFillTint="66"/>
            <w:vAlign w:val="center"/>
          </w:tcPr>
          <w:p w:rsidR="00945BF6" w:rsidRPr="00817D05" w:rsidRDefault="00945BF6" w:rsidP="00945BF6">
            <w:pPr>
              <w:jc w:val="center"/>
              <w:rPr>
                <w:rFonts w:cstheme="minorHAnsi"/>
                <w:sz w:val="20"/>
                <w:szCs w:val="20"/>
                <w:lang w:val="fr-BE"/>
              </w:rPr>
            </w:pPr>
            <w:r w:rsidRPr="00817D05">
              <w:rPr>
                <w:rFonts w:cstheme="minorHAnsi"/>
                <w:sz w:val="20"/>
                <w:szCs w:val="20"/>
                <w:lang w:val="fr-BE"/>
              </w:rPr>
              <w:t>Collaboration(s) avec… (d’autres organisations)</w:t>
            </w:r>
          </w:p>
        </w:tc>
        <w:tc>
          <w:tcPr>
            <w:tcW w:w="2443" w:type="dxa"/>
            <w:vMerge w:val="restart"/>
            <w:shd w:val="clear" w:color="auto" w:fill="B8CCE4" w:themeFill="accent1" w:themeFillTint="66"/>
            <w:vAlign w:val="center"/>
          </w:tcPr>
          <w:p w:rsidR="00945BF6" w:rsidRPr="00817D05" w:rsidRDefault="00945BF6" w:rsidP="00945BF6">
            <w:pPr>
              <w:rPr>
                <w:rFonts w:cstheme="minorHAnsi"/>
                <w:sz w:val="20"/>
                <w:szCs w:val="20"/>
              </w:rPr>
            </w:pPr>
            <w:r w:rsidRPr="00817D05">
              <w:rPr>
                <w:rFonts w:cstheme="minorHAnsi"/>
                <w:sz w:val="20"/>
                <w:szCs w:val="20"/>
              </w:rPr>
              <w:t xml:space="preserve">Groupe </w:t>
            </w:r>
            <w:proofErr w:type="spellStart"/>
            <w:r w:rsidRPr="00817D05">
              <w:rPr>
                <w:rFonts w:cstheme="minorHAnsi"/>
                <w:sz w:val="20"/>
                <w:szCs w:val="20"/>
              </w:rPr>
              <w:t>cible</w:t>
            </w:r>
            <w:proofErr w:type="spellEnd"/>
          </w:p>
        </w:tc>
        <w:tc>
          <w:tcPr>
            <w:tcW w:w="1276" w:type="dxa"/>
            <w:vMerge w:val="restart"/>
            <w:shd w:val="clear" w:color="auto" w:fill="B8CCE4" w:themeFill="accent1" w:themeFillTint="66"/>
            <w:vAlign w:val="center"/>
          </w:tcPr>
          <w:p w:rsidR="00945BF6" w:rsidRPr="00817D05" w:rsidRDefault="00945BF6" w:rsidP="00945BF6">
            <w:pPr>
              <w:jc w:val="center"/>
              <w:rPr>
                <w:rFonts w:cstheme="minorHAnsi"/>
                <w:sz w:val="20"/>
                <w:szCs w:val="20"/>
              </w:rPr>
            </w:pPr>
            <w:proofErr w:type="spellStart"/>
            <w:r w:rsidRPr="00817D05">
              <w:rPr>
                <w:rFonts w:cstheme="minorHAnsi"/>
                <w:sz w:val="20"/>
                <w:szCs w:val="20"/>
              </w:rPr>
              <w:t>Nombre</w:t>
            </w:r>
            <w:proofErr w:type="spellEnd"/>
            <w:r w:rsidRPr="00817D05">
              <w:rPr>
                <w:rFonts w:cstheme="minorHAnsi"/>
                <w:sz w:val="20"/>
                <w:szCs w:val="20"/>
              </w:rPr>
              <w:t xml:space="preserve"> de </w:t>
            </w:r>
            <w:proofErr w:type="spellStart"/>
            <w:r w:rsidRPr="00817D05">
              <w:rPr>
                <w:rFonts w:cstheme="minorHAnsi"/>
                <w:sz w:val="20"/>
                <w:szCs w:val="20"/>
              </w:rPr>
              <w:t>participants</w:t>
            </w:r>
            <w:proofErr w:type="spellEnd"/>
            <w:r w:rsidRPr="00817D05">
              <w:rPr>
                <w:rFonts w:cstheme="minorHAnsi"/>
                <w:sz w:val="20"/>
                <w:szCs w:val="20"/>
              </w:rPr>
              <w:t xml:space="preserve"> </w:t>
            </w:r>
            <w:proofErr w:type="spellStart"/>
            <w:r w:rsidRPr="00817D05">
              <w:rPr>
                <w:rFonts w:cstheme="minorHAnsi"/>
                <w:sz w:val="20"/>
                <w:szCs w:val="20"/>
              </w:rPr>
              <w:t>envisagé</w:t>
            </w:r>
            <w:proofErr w:type="spellEnd"/>
          </w:p>
        </w:tc>
        <w:tc>
          <w:tcPr>
            <w:tcW w:w="1491" w:type="dxa"/>
            <w:vMerge w:val="restart"/>
            <w:shd w:val="clear" w:color="auto" w:fill="B8CCE4" w:themeFill="accent1" w:themeFillTint="66"/>
          </w:tcPr>
          <w:p w:rsidR="00945BF6" w:rsidRPr="00817D05" w:rsidRDefault="00945BF6" w:rsidP="00945BF6">
            <w:pPr>
              <w:jc w:val="center"/>
              <w:rPr>
                <w:rFonts w:cstheme="minorHAnsi"/>
                <w:sz w:val="20"/>
                <w:szCs w:val="20"/>
                <w:lang w:val="fr-BE"/>
              </w:rPr>
            </w:pPr>
            <w:r w:rsidRPr="00817D05">
              <w:rPr>
                <w:rFonts w:cstheme="minorHAnsi"/>
                <w:sz w:val="20"/>
                <w:szCs w:val="20"/>
                <w:lang w:val="fr-BE"/>
              </w:rPr>
              <w:t xml:space="preserve">Moyens du projet supplémentaire </w:t>
            </w:r>
          </w:p>
        </w:tc>
      </w:tr>
      <w:tr w:rsidR="00945BF6" w:rsidRPr="00945BF6" w:rsidTr="00945BF6">
        <w:trPr>
          <w:trHeight w:val="338"/>
        </w:trPr>
        <w:tc>
          <w:tcPr>
            <w:tcW w:w="534" w:type="dxa"/>
            <w:vMerge/>
            <w:tcBorders>
              <w:left w:val="nil"/>
            </w:tcBorders>
          </w:tcPr>
          <w:p w:rsidR="00945BF6" w:rsidRPr="00817D05" w:rsidRDefault="00945BF6" w:rsidP="00945BF6">
            <w:pPr>
              <w:rPr>
                <w:rFonts w:cstheme="minorHAnsi"/>
                <w:sz w:val="20"/>
                <w:szCs w:val="20"/>
                <w:lang w:val="fr-BE"/>
              </w:rPr>
            </w:pPr>
          </w:p>
        </w:tc>
        <w:tc>
          <w:tcPr>
            <w:tcW w:w="2018" w:type="dxa"/>
            <w:vMerge/>
            <w:shd w:val="clear" w:color="auto" w:fill="B8CCE4" w:themeFill="accent1" w:themeFillTint="66"/>
            <w:vAlign w:val="center"/>
          </w:tcPr>
          <w:p w:rsidR="00945BF6" w:rsidRPr="00817D05" w:rsidRDefault="00945BF6" w:rsidP="00945BF6">
            <w:pPr>
              <w:jc w:val="center"/>
              <w:rPr>
                <w:rFonts w:cstheme="minorHAnsi"/>
                <w:sz w:val="20"/>
                <w:szCs w:val="20"/>
                <w:lang w:val="fr-BE"/>
              </w:rPr>
            </w:pPr>
          </w:p>
        </w:tc>
        <w:tc>
          <w:tcPr>
            <w:tcW w:w="3402" w:type="dxa"/>
            <w:vMerge/>
            <w:shd w:val="clear" w:color="auto" w:fill="B8CCE4" w:themeFill="accent1" w:themeFillTint="66"/>
            <w:vAlign w:val="center"/>
          </w:tcPr>
          <w:p w:rsidR="00945BF6" w:rsidRPr="00817D05" w:rsidRDefault="00945BF6" w:rsidP="00945BF6">
            <w:pPr>
              <w:jc w:val="center"/>
              <w:rPr>
                <w:rFonts w:cstheme="minorHAnsi"/>
                <w:sz w:val="20"/>
                <w:szCs w:val="20"/>
                <w:lang w:val="fr-BE"/>
              </w:rPr>
            </w:pPr>
          </w:p>
        </w:tc>
        <w:tc>
          <w:tcPr>
            <w:tcW w:w="3085" w:type="dxa"/>
            <w:vMerge/>
            <w:shd w:val="clear" w:color="auto" w:fill="B8CCE4" w:themeFill="accent1" w:themeFillTint="66"/>
            <w:vAlign w:val="center"/>
          </w:tcPr>
          <w:p w:rsidR="00945BF6" w:rsidRPr="00817D05" w:rsidRDefault="00945BF6" w:rsidP="00945BF6">
            <w:pPr>
              <w:jc w:val="center"/>
              <w:rPr>
                <w:rFonts w:cstheme="minorHAnsi"/>
                <w:sz w:val="20"/>
                <w:szCs w:val="20"/>
                <w:lang w:val="fr-BE"/>
              </w:rPr>
            </w:pPr>
          </w:p>
        </w:tc>
        <w:tc>
          <w:tcPr>
            <w:tcW w:w="2443" w:type="dxa"/>
            <w:vMerge/>
            <w:shd w:val="clear" w:color="auto" w:fill="B8CCE4" w:themeFill="accent1" w:themeFillTint="66"/>
            <w:vAlign w:val="center"/>
          </w:tcPr>
          <w:p w:rsidR="00945BF6" w:rsidRPr="00817D05" w:rsidRDefault="00945BF6" w:rsidP="00945BF6">
            <w:pPr>
              <w:rPr>
                <w:rFonts w:cstheme="minorHAnsi"/>
                <w:sz w:val="20"/>
                <w:szCs w:val="20"/>
                <w:lang w:val="fr-BE"/>
              </w:rPr>
            </w:pPr>
          </w:p>
        </w:tc>
        <w:tc>
          <w:tcPr>
            <w:tcW w:w="1276" w:type="dxa"/>
            <w:vMerge/>
            <w:shd w:val="clear" w:color="auto" w:fill="B8CCE4" w:themeFill="accent1" w:themeFillTint="66"/>
            <w:vAlign w:val="center"/>
          </w:tcPr>
          <w:p w:rsidR="00945BF6" w:rsidRPr="00817D05" w:rsidRDefault="00945BF6" w:rsidP="00945BF6">
            <w:pPr>
              <w:jc w:val="center"/>
              <w:rPr>
                <w:rFonts w:cstheme="minorHAnsi"/>
                <w:sz w:val="20"/>
                <w:szCs w:val="20"/>
                <w:lang w:val="fr-BE"/>
              </w:rPr>
            </w:pPr>
          </w:p>
        </w:tc>
        <w:tc>
          <w:tcPr>
            <w:tcW w:w="1491" w:type="dxa"/>
            <w:vMerge/>
            <w:shd w:val="clear" w:color="auto" w:fill="B8CCE4" w:themeFill="accent1" w:themeFillTint="66"/>
          </w:tcPr>
          <w:p w:rsidR="00945BF6" w:rsidRPr="00817D05" w:rsidRDefault="00945BF6" w:rsidP="00945BF6">
            <w:pPr>
              <w:jc w:val="center"/>
              <w:rPr>
                <w:rFonts w:cstheme="minorHAnsi"/>
                <w:sz w:val="20"/>
                <w:szCs w:val="20"/>
                <w:lang w:val="fr-BE"/>
              </w:rPr>
            </w:pPr>
          </w:p>
        </w:tc>
      </w:tr>
      <w:tr w:rsidR="00945BF6" w:rsidRPr="00817D05" w:rsidTr="00945BF6">
        <w:trPr>
          <w:trHeight w:val="703"/>
        </w:trPr>
        <w:tc>
          <w:tcPr>
            <w:tcW w:w="534" w:type="dxa"/>
            <w:tcBorders>
              <w:bottom w:val="single" w:sz="4" w:space="0" w:color="auto"/>
            </w:tcBorders>
          </w:tcPr>
          <w:p w:rsidR="00945BF6" w:rsidRPr="00817D05" w:rsidRDefault="00945BF6" w:rsidP="00945BF6">
            <w:pPr>
              <w:rPr>
                <w:rFonts w:cstheme="minorHAnsi"/>
                <w:sz w:val="20"/>
                <w:szCs w:val="20"/>
              </w:rPr>
            </w:pPr>
            <w:r w:rsidRPr="00817D05">
              <w:rPr>
                <w:rFonts w:cstheme="minorHAnsi"/>
                <w:sz w:val="20"/>
                <w:szCs w:val="20"/>
              </w:rPr>
              <w:t>1</w:t>
            </w:r>
          </w:p>
        </w:tc>
        <w:tc>
          <w:tcPr>
            <w:tcW w:w="2018" w:type="dxa"/>
            <w:tcBorders>
              <w:bottom w:val="single" w:sz="4" w:space="0" w:color="auto"/>
            </w:tcBorders>
          </w:tcPr>
          <w:p w:rsidR="00945BF6" w:rsidRPr="00817D05" w:rsidRDefault="00945BF6" w:rsidP="00945BF6">
            <w:pPr>
              <w:rPr>
                <w:rFonts w:cstheme="minorHAnsi"/>
                <w:sz w:val="20"/>
                <w:szCs w:val="20"/>
                <w:lang w:val="fr-BE"/>
              </w:rPr>
            </w:pPr>
            <w:r w:rsidRPr="00817D05">
              <w:rPr>
                <w:rFonts w:cstheme="minorHAnsi"/>
                <w:sz w:val="20"/>
                <w:szCs w:val="20"/>
                <w:lang w:val="fr-BE"/>
              </w:rPr>
              <w:t>Orientation durable vers un emploi dans le secteur de la construction</w:t>
            </w:r>
          </w:p>
        </w:tc>
        <w:tc>
          <w:tcPr>
            <w:tcW w:w="3402" w:type="dxa"/>
            <w:tcBorders>
              <w:bottom w:val="single" w:sz="4" w:space="0" w:color="auto"/>
            </w:tcBorders>
          </w:tcPr>
          <w:p w:rsidR="00945BF6" w:rsidRPr="00817D05" w:rsidRDefault="00945BF6" w:rsidP="00945BF6">
            <w:pPr>
              <w:jc w:val="both"/>
              <w:rPr>
                <w:rFonts w:cstheme="minorHAnsi"/>
                <w:sz w:val="20"/>
                <w:szCs w:val="20"/>
                <w:lang w:val="fr-BE"/>
              </w:rPr>
            </w:pPr>
            <w:r w:rsidRPr="00817D05">
              <w:rPr>
                <w:rFonts w:cstheme="minorHAnsi"/>
                <w:sz w:val="20"/>
                <w:szCs w:val="20"/>
                <w:lang w:val="fr-BE"/>
              </w:rPr>
              <w:t xml:space="preserve">Il est essentiel de veiller, en permanence, à mettre en œuvre des actions visant l’accompagnement et la transition des jeunes vers l’emploi. L'objectif de ce projet est d'optimiser la transition des jeunes dans le secteur de la construction. à travers le transfert d’informations, le screening, l’accompagnement, l’orientation, la formation et le </w:t>
            </w:r>
            <w:proofErr w:type="spellStart"/>
            <w:r w:rsidRPr="00817D05">
              <w:rPr>
                <w:rFonts w:cstheme="minorHAnsi"/>
                <w:sz w:val="20"/>
                <w:szCs w:val="20"/>
                <w:lang w:val="fr-BE"/>
              </w:rPr>
              <w:t>jobmatching</w:t>
            </w:r>
            <w:proofErr w:type="spellEnd"/>
            <w:r w:rsidRPr="00817D05">
              <w:rPr>
                <w:rFonts w:cstheme="minorHAnsi"/>
                <w:sz w:val="20"/>
                <w:szCs w:val="20"/>
                <w:lang w:val="fr-BE"/>
              </w:rPr>
              <w:t>. Pour ce faire, l’expertise et le réseau de Constructiv sont mobilisés. Il s’agit donc de mettre en œuvre un instrument sectoriel permettant la mise en place d’un processus d’insertion sectorielle vers l’emploi pour les jeunes chercheurs d’emploi et les jeunes en formation.</w:t>
            </w:r>
          </w:p>
          <w:p w:rsidR="00945BF6" w:rsidRPr="00817D05" w:rsidRDefault="00945BF6" w:rsidP="00945BF6">
            <w:pPr>
              <w:rPr>
                <w:rFonts w:cstheme="minorHAnsi"/>
                <w:sz w:val="20"/>
                <w:szCs w:val="20"/>
                <w:lang w:val="fr-BE"/>
              </w:rPr>
            </w:pPr>
          </w:p>
        </w:tc>
        <w:tc>
          <w:tcPr>
            <w:tcW w:w="3085" w:type="dxa"/>
            <w:tcBorders>
              <w:bottom w:val="single" w:sz="4" w:space="0" w:color="auto"/>
            </w:tcBorders>
          </w:tcPr>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 xml:space="preserve">IFAPME et EFP ; </w:t>
            </w:r>
          </w:p>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 xml:space="preserve">le Forem ; </w:t>
            </w:r>
          </w:p>
          <w:p w:rsidR="00945BF6" w:rsidRPr="00817D05" w:rsidRDefault="00945BF6" w:rsidP="00945BF6">
            <w:pPr>
              <w:spacing w:after="160" w:line="259" w:lineRule="auto"/>
              <w:rPr>
                <w:rFonts w:cstheme="minorHAnsi"/>
                <w:sz w:val="20"/>
                <w:szCs w:val="20"/>
                <w:lang w:val="fr-BE"/>
              </w:rPr>
            </w:pPr>
            <w:r w:rsidRPr="00817D05">
              <w:rPr>
                <w:rFonts w:cstheme="minorHAnsi"/>
                <w:sz w:val="20"/>
                <w:szCs w:val="20"/>
                <w:lang w:val="fr-BE"/>
              </w:rPr>
              <w:t>le Ministre flamand de l’Enseignement;</w:t>
            </w:r>
          </w:p>
          <w:p w:rsidR="00945BF6" w:rsidRPr="00817D05" w:rsidRDefault="00945BF6" w:rsidP="00945BF6">
            <w:pPr>
              <w:spacing w:after="160" w:line="259" w:lineRule="auto"/>
              <w:rPr>
                <w:rFonts w:cstheme="minorHAnsi"/>
                <w:sz w:val="20"/>
                <w:szCs w:val="20"/>
                <w:lang w:val="fr-BE"/>
              </w:rPr>
            </w:pPr>
            <w:r w:rsidRPr="00817D05">
              <w:rPr>
                <w:rFonts w:cstheme="minorHAnsi"/>
                <w:sz w:val="20"/>
                <w:szCs w:val="20"/>
                <w:lang w:val="fr-BE"/>
              </w:rPr>
              <w:t xml:space="preserve">le Ministre fédéral de l’Emploi ; </w:t>
            </w:r>
          </w:p>
          <w:p w:rsidR="00945BF6" w:rsidRPr="00817D05" w:rsidRDefault="00945BF6" w:rsidP="00945BF6">
            <w:pPr>
              <w:spacing w:after="160" w:line="259" w:lineRule="auto"/>
              <w:rPr>
                <w:rFonts w:cstheme="minorHAnsi"/>
                <w:sz w:val="20"/>
                <w:szCs w:val="20"/>
                <w:lang w:val="fr-BE"/>
              </w:rPr>
            </w:pPr>
            <w:r w:rsidRPr="00817D05">
              <w:rPr>
                <w:rFonts w:cstheme="minorHAnsi"/>
                <w:sz w:val="20"/>
                <w:szCs w:val="20"/>
                <w:lang w:val="fr-BE"/>
              </w:rPr>
              <w:t>l’enseignement de la Communauté flamande GO! ;</w:t>
            </w:r>
          </w:p>
          <w:p w:rsidR="00945BF6" w:rsidRPr="00817D05" w:rsidRDefault="00945BF6" w:rsidP="00945BF6">
            <w:pPr>
              <w:spacing w:after="160" w:line="259" w:lineRule="auto"/>
              <w:rPr>
                <w:rFonts w:cstheme="minorHAnsi"/>
                <w:sz w:val="20"/>
                <w:szCs w:val="20"/>
                <w:lang w:val="fr-BE"/>
              </w:rPr>
            </w:pPr>
            <w:r w:rsidRPr="00817D05">
              <w:rPr>
                <w:rFonts w:cstheme="minorHAnsi"/>
                <w:sz w:val="20"/>
                <w:szCs w:val="20"/>
                <w:lang w:val="fr-BE"/>
              </w:rPr>
              <w:t xml:space="preserve">le secrétariat de l’Enseignement des Villes et des Communes de la Communauté flamande ; </w:t>
            </w:r>
          </w:p>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l’Enseignement provincial en Flandres ;</w:t>
            </w:r>
          </w:p>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Enseignement Catholique de Flandre;</w:t>
            </w:r>
          </w:p>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le VDAB ;</w:t>
            </w:r>
          </w:p>
          <w:p w:rsidR="00945BF6" w:rsidRPr="00E8665E" w:rsidRDefault="00945BF6" w:rsidP="00945BF6">
            <w:pPr>
              <w:spacing w:after="160" w:line="259" w:lineRule="auto"/>
              <w:rPr>
                <w:rFonts w:cstheme="minorHAnsi"/>
                <w:sz w:val="20"/>
                <w:szCs w:val="20"/>
                <w:lang w:val="fr-BE"/>
              </w:rPr>
            </w:pPr>
            <w:r w:rsidRPr="00E8665E">
              <w:rPr>
                <w:rFonts w:cstheme="minorHAnsi"/>
                <w:sz w:val="20"/>
                <w:szCs w:val="20"/>
                <w:lang w:val="fr-BE"/>
              </w:rPr>
              <w:t>Actiris et Bruxelles Formation.</w:t>
            </w:r>
          </w:p>
        </w:tc>
        <w:tc>
          <w:tcPr>
            <w:tcW w:w="2443" w:type="dxa"/>
            <w:tcBorders>
              <w:bottom w:val="single" w:sz="4" w:space="0" w:color="auto"/>
            </w:tcBorders>
          </w:tcPr>
          <w:p w:rsidR="00945BF6" w:rsidRPr="00817D05" w:rsidRDefault="00945BF6" w:rsidP="00945BF6">
            <w:pPr>
              <w:pStyle w:val="Kop4"/>
              <w:numPr>
                <w:ilvl w:val="0"/>
                <w:numId w:val="0"/>
              </w:numPr>
              <w:jc w:val="left"/>
              <w:outlineLvl w:val="3"/>
              <w:rPr>
                <w:rFonts w:asciiTheme="minorHAnsi" w:hAnsiTheme="minorHAnsi" w:cstheme="minorHAnsi"/>
                <w:sz w:val="20"/>
                <w:szCs w:val="20"/>
              </w:rPr>
            </w:pPr>
            <w:r w:rsidRPr="00817D05">
              <w:rPr>
                <w:rFonts w:asciiTheme="minorHAnsi" w:hAnsiTheme="minorHAnsi" w:cstheme="minorHAnsi"/>
                <w:sz w:val="20"/>
                <w:szCs w:val="20"/>
              </w:rPr>
              <w:t>Jeunes -26 ans</w:t>
            </w:r>
          </w:p>
          <w:p w:rsidR="00945BF6" w:rsidRPr="00817D05" w:rsidRDefault="00945BF6" w:rsidP="00945BF6">
            <w:pPr>
              <w:rPr>
                <w:rFonts w:cstheme="minorHAnsi"/>
                <w:sz w:val="20"/>
                <w:szCs w:val="20"/>
                <w:lang w:val="fr-FR" w:eastAsia="fr-FR"/>
              </w:rPr>
            </w:pPr>
          </w:p>
          <w:p w:rsidR="00945BF6" w:rsidRPr="00817D05" w:rsidRDefault="00945BF6" w:rsidP="00945BF6">
            <w:pPr>
              <w:pStyle w:val="Kop4"/>
              <w:numPr>
                <w:ilvl w:val="0"/>
                <w:numId w:val="0"/>
              </w:numPr>
              <w:jc w:val="left"/>
              <w:outlineLvl w:val="3"/>
              <w:rPr>
                <w:rFonts w:asciiTheme="minorHAnsi" w:hAnsiTheme="minorHAnsi" w:cstheme="minorHAnsi"/>
                <w:sz w:val="20"/>
                <w:szCs w:val="20"/>
              </w:rPr>
            </w:pPr>
            <w:r w:rsidRPr="00817D05">
              <w:rPr>
                <w:rFonts w:asciiTheme="minorHAnsi" w:hAnsiTheme="minorHAnsi" w:cstheme="minorHAnsi"/>
                <w:sz w:val="20"/>
                <w:szCs w:val="20"/>
              </w:rPr>
              <w:t>Diplômés de l’enseignement construction</w:t>
            </w:r>
          </w:p>
          <w:p w:rsidR="00945BF6" w:rsidRPr="00817D05" w:rsidRDefault="00945BF6" w:rsidP="00945BF6">
            <w:pPr>
              <w:rPr>
                <w:rFonts w:cstheme="minorHAnsi"/>
                <w:sz w:val="20"/>
                <w:szCs w:val="20"/>
                <w:lang w:val="fr-FR" w:eastAsia="fr-FR"/>
              </w:rPr>
            </w:pPr>
          </w:p>
          <w:p w:rsidR="00945BF6" w:rsidRPr="00817D05" w:rsidRDefault="00945BF6" w:rsidP="00945BF6">
            <w:pPr>
              <w:pStyle w:val="Kop4"/>
              <w:numPr>
                <w:ilvl w:val="0"/>
                <w:numId w:val="0"/>
              </w:numPr>
              <w:spacing w:after="240"/>
              <w:jc w:val="left"/>
              <w:outlineLvl w:val="3"/>
              <w:rPr>
                <w:rFonts w:asciiTheme="minorHAnsi" w:eastAsiaTheme="minorHAnsi" w:hAnsiTheme="minorHAnsi" w:cstheme="minorHAnsi"/>
                <w:sz w:val="20"/>
                <w:szCs w:val="20"/>
              </w:rPr>
            </w:pPr>
            <w:r w:rsidRPr="00817D05">
              <w:rPr>
                <w:rFonts w:asciiTheme="minorHAnsi" w:hAnsiTheme="minorHAnsi" w:cstheme="minorHAnsi"/>
                <w:sz w:val="20"/>
                <w:szCs w:val="20"/>
              </w:rPr>
              <w:t>Jeunes dans un régime de formation en alternance</w:t>
            </w:r>
          </w:p>
          <w:p w:rsidR="00945BF6" w:rsidRPr="00817D05" w:rsidRDefault="00945BF6" w:rsidP="00945BF6">
            <w:pPr>
              <w:rPr>
                <w:rFonts w:cstheme="minorHAnsi"/>
                <w:sz w:val="20"/>
                <w:szCs w:val="20"/>
                <w:lang w:val="fr-FR"/>
              </w:rPr>
            </w:pPr>
          </w:p>
        </w:tc>
        <w:tc>
          <w:tcPr>
            <w:tcW w:w="1276" w:type="dxa"/>
            <w:tcBorders>
              <w:bottom w:val="single" w:sz="4" w:space="0" w:color="auto"/>
            </w:tcBorders>
          </w:tcPr>
          <w:p w:rsidR="00945BF6" w:rsidRPr="00817D05" w:rsidRDefault="00945BF6" w:rsidP="00945BF6">
            <w:pPr>
              <w:rPr>
                <w:rFonts w:cstheme="minorHAnsi"/>
                <w:sz w:val="20"/>
                <w:szCs w:val="20"/>
              </w:rPr>
            </w:pPr>
            <w:r w:rsidRPr="00817D05">
              <w:rPr>
                <w:rFonts w:cstheme="minorHAnsi"/>
                <w:sz w:val="20"/>
                <w:szCs w:val="20"/>
              </w:rPr>
              <w:t>5</w:t>
            </w:r>
            <w:r>
              <w:rPr>
                <w:rFonts w:cstheme="minorHAnsi"/>
                <w:sz w:val="20"/>
                <w:szCs w:val="20"/>
              </w:rPr>
              <w:t>.</w:t>
            </w:r>
            <w:r w:rsidRPr="00817D05">
              <w:rPr>
                <w:rFonts w:cstheme="minorHAnsi"/>
                <w:sz w:val="20"/>
                <w:szCs w:val="20"/>
              </w:rPr>
              <w:t>000</w:t>
            </w:r>
          </w:p>
        </w:tc>
        <w:tc>
          <w:tcPr>
            <w:tcW w:w="1491" w:type="dxa"/>
          </w:tcPr>
          <w:p w:rsidR="00945BF6" w:rsidRPr="00817D05" w:rsidRDefault="00945BF6" w:rsidP="00945BF6">
            <w:pPr>
              <w:rPr>
                <w:rFonts w:cstheme="minorHAnsi"/>
                <w:sz w:val="20"/>
                <w:szCs w:val="20"/>
              </w:rPr>
            </w:pPr>
            <w:r w:rsidRPr="00817D05">
              <w:rPr>
                <w:rFonts w:cstheme="minorHAnsi"/>
                <w:sz w:val="20"/>
                <w:szCs w:val="20"/>
              </w:rPr>
              <w:t>€ 1</w:t>
            </w:r>
            <w:r>
              <w:rPr>
                <w:rFonts w:cstheme="minorHAnsi"/>
                <w:sz w:val="20"/>
                <w:szCs w:val="20"/>
              </w:rPr>
              <w:t>.</w:t>
            </w:r>
            <w:r w:rsidRPr="00817D05">
              <w:rPr>
                <w:rFonts w:cstheme="minorHAnsi"/>
                <w:sz w:val="20"/>
                <w:szCs w:val="20"/>
              </w:rPr>
              <w:t>076</w:t>
            </w:r>
            <w:r>
              <w:rPr>
                <w:rFonts w:cstheme="minorHAnsi"/>
                <w:sz w:val="20"/>
                <w:szCs w:val="20"/>
              </w:rPr>
              <w:t>.</w:t>
            </w:r>
            <w:r w:rsidRPr="00817D05">
              <w:rPr>
                <w:rFonts w:cstheme="minorHAnsi"/>
                <w:sz w:val="20"/>
                <w:szCs w:val="20"/>
              </w:rPr>
              <w:t>374,72</w:t>
            </w:r>
          </w:p>
        </w:tc>
      </w:tr>
      <w:tr w:rsidR="00945BF6" w:rsidRPr="00817D05" w:rsidTr="00945BF6">
        <w:trPr>
          <w:trHeight w:val="703"/>
        </w:trPr>
        <w:tc>
          <w:tcPr>
            <w:tcW w:w="534" w:type="dxa"/>
            <w:tcBorders>
              <w:bottom w:val="single" w:sz="4" w:space="0" w:color="auto"/>
            </w:tcBorders>
          </w:tcPr>
          <w:p w:rsidR="00945BF6" w:rsidRPr="00817D05" w:rsidRDefault="00945BF6" w:rsidP="00945BF6">
            <w:pPr>
              <w:rPr>
                <w:rFonts w:cstheme="minorHAnsi"/>
                <w:sz w:val="20"/>
                <w:szCs w:val="20"/>
              </w:rPr>
            </w:pPr>
            <w:r w:rsidRPr="00817D05">
              <w:rPr>
                <w:rFonts w:cstheme="minorHAnsi"/>
                <w:sz w:val="20"/>
                <w:szCs w:val="20"/>
              </w:rPr>
              <w:t>2</w:t>
            </w:r>
          </w:p>
        </w:tc>
        <w:tc>
          <w:tcPr>
            <w:tcW w:w="2018" w:type="dxa"/>
            <w:tcBorders>
              <w:bottom w:val="single" w:sz="4" w:space="0" w:color="auto"/>
            </w:tcBorders>
          </w:tcPr>
          <w:p w:rsidR="00945BF6" w:rsidRPr="00817D05" w:rsidRDefault="00945BF6" w:rsidP="00945BF6">
            <w:pPr>
              <w:rPr>
                <w:rFonts w:cstheme="minorHAnsi"/>
                <w:sz w:val="20"/>
                <w:szCs w:val="20"/>
                <w:lang w:val="fr-BE"/>
              </w:rPr>
            </w:pPr>
            <w:r w:rsidRPr="00817D05">
              <w:rPr>
                <w:rFonts w:cstheme="minorHAnsi"/>
                <w:sz w:val="20"/>
                <w:szCs w:val="20"/>
                <w:lang w:val="fr-BE"/>
              </w:rPr>
              <w:t>Soutenir l‘apprentissage en alternance</w:t>
            </w:r>
          </w:p>
        </w:tc>
        <w:tc>
          <w:tcPr>
            <w:tcW w:w="3402" w:type="dxa"/>
            <w:tcBorders>
              <w:bottom w:val="single" w:sz="4" w:space="0" w:color="auto"/>
            </w:tcBorders>
          </w:tcPr>
          <w:p w:rsidR="00945BF6" w:rsidRPr="00817D05" w:rsidRDefault="00945BF6" w:rsidP="00945BF6">
            <w:pPr>
              <w:jc w:val="both"/>
              <w:rPr>
                <w:rFonts w:cstheme="minorHAnsi"/>
                <w:sz w:val="20"/>
                <w:szCs w:val="20"/>
                <w:lang w:val="fr-BE"/>
              </w:rPr>
            </w:pPr>
            <w:r w:rsidRPr="00817D05">
              <w:rPr>
                <w:rFonts w:cstheme="minorHAnsi"/>
                <w:sz w:val="20"/>
                <w:szCs w:val="20"/>
                <w:lang w:val="fr-BE"/>
              </w:rPr>
              <w:t>Les partenaires sociaux du secteur de la construction ont avancé les objectifs suivants en matière d'apprentissage en alternance :</w:t>
            </w:r>
          </w:p>
          <w:p w:rsidR="00945BF6" w:rsidRPr="00817D05" w:rsidRDefault="00945BF6" w:rsidP="00945BF6">
            <w:pPr>
              <w:pStyle w:val="Kop4"/>
              <w:ind w:left="361"/>
              <w:outlineLvl w:val="3"/>
              <w:rPr>
                <w:rFonts w:asciiTheme="minorHAnsi" w:hAnsiTheme="minorHAnsi" w:cstheme="minorHAnsi"/>
                <w:sz w:val="20"/>
                <w:szCs w:val="20"/>
              </w:rPr>
            </w:pPr>
            <w:r w:rsidRPr="00817D05">
              <w:rPr>
                <w:rFonts w:asciiTheme="minorHAnsi" w:hAnsiTheme="minorHAnsi" w:cstheme="minorHAnsi"/>
                <w:sz w:val="20"/>
                <w:szCs w:val="20"/>
              </w:rPr>
              <w:t>promotion des régimes d'apprentissage en alternance ;</w:t>
            </w:r>
          </w:p>
          <w:p w:rsidR="00945BF6" w:rsidRPr="00817D05" w:rsidRDefault="00945BF6" w:rsidP="00945BF6">
            <w:pPr>
              <w:pStyle w:val="Kop4"/>
              <w:ind w:left="361"/>
              <w:outlineLvl w:val="3"/>
              <w:rPr>
                <w:rFonts w:asciiTheme="minorHAnsi" w:hAnsiTheme="minorHAnsi" w:cstheme="minorHAnsi"/>
                <w:sz w:val="20"/>
                <w:szCs w:val="20"/>
              </w:rPr>
            </w:pPr>
            <w:r w:rsidRPr="00817D05">
              <w:rPr>
                <w:rFonts w:asciiTheme="minorHAnsi" w:hAnsiTheme="minorHAnsi" w:cstheme="minorHAnsi"/>
                <w:sz w:val="20"/>
                <w:szCs w:val="20"/>
              </w:rPr>
              <w:t>solution aux décrochages pendant le parcours d'apprentissage ;</w:t>
            </w:r>
          </w:p>
          <w:p w:rsidR="00945BF6" w:rsidRPr="00817D05" w:rsidRDefault="00945BF6" w:rsidP="00945BF6">
            <w:pPr>
              <w:pStyle w:val="Kop4"/>
              <w:ind w:left="361"/>
              <w:outlineLvl w:val="3"/>
              <w:rPr>
                <w:rFonts w:asciiTheme="minorHAnsi" w:hAnsiTheme="minorHAnsi" w:cstheme="minorHAnsi"/>
                <w:sz w:val="20"/>
                <w:szCs w:val="20"/>
              </w:rPr>
            </w:pPr>
            <w:r w:rsidRPr="00817D05">
              <w:rPr>
                <w:rFonts w:asciiTheme="minorHAnsi" w:hAnsiTheme="minorHAnsi" w:cstheme="minorHAnsi"/>
                <w:sz w:val="20"/>
                <w:szCs w:val="20"/>
              </w:rPr>
              <w:lastRenderedPageBreak/>
              <w:t>optimisation de la transition durable des jeunes vers le secteur ;</w:t>
            </w:r>
          </w:p>
          <w:p w:rsidR="00945BF6" w:rsidRPr="00817D05" w:rsidRDefault="00945BF6" w:rsidP="00945BF6">
            <w:pPr>
              <w:pStyle w:val="Kop4"/>
              <w:ind w:left="361"/>
              <w:outlineLvl w:val="3"/>
              <w:rPr>
                <w:rFonts w:asciiTheme="minorHAnsi" w:hAnsiTheme="minorHAnsi" w:cstheme="minorHAnsi"/>
                <w:sz w:val="20"/>
                <w:szCs w:val="20"/>
              </w:rPr>
            </w:pPr>
            <w:r w:rsidRPr="00817D05">
              <w:rPr>
                <w:rFonts w:asciiTheme="minorHAnsi" w:hAnsiTheme="minorHAnsi" w:cstheme="minorHAnsi"/>
                <w:sz w:val="20"/>
                <w:szCs w:val="20"/>
              </w:rPr>
              <w:t>contrôle de la qualité des lieux d'apprentissage ;</w:t>
            </w:r>
          </w:p>
          <w:p w:rsidR="00945BF6" w:rsidRPr="00817D05" w:rsidRDefault="00945BF6" w:rsidP="00945BF6">
            <w:pPr>
              <w:pStyle w:val="Kop4"/>
              <w:spacing w:after="240"/>
              <w:ind w:left="361"/>
              <w:outlineLvl w:val="3"/>
              <w:rPr>
                <w:rFonts w:asciiTheme="minorHAnsi" w:hAnsiTheme="minorHAnsi" w:cstheme="minorHAnsi"/>
                <w:sz w:val="20"/>
                <w:szCs w:val="20"/>
              </w:rPr>
            </w:pPr>
            <w:r w:rsidRPr="00817D05">
              <w:rPr>
                <w:rFonts w:asciiTheme="minorHAnsi" w:hAnsiTheme="minorHAnsi" w:cstheme="minorHAnsi"/>
                <w:sz w:val="20"/>
                <w:szCs w:val="20"/>
              </w:rPr>
              <w:t>contrôle de l'offre des lieux d'apprentissage.</w:t>
            </w:r>
          </w:p>
          <w:p w:rsidR="00945BF6" w:rsidRPr="00817D05" w:rsidRDefault="00945BF6" w:rsidP="00945BF6">
            <w:pPr>
              <w:rPr>
                <w:rFonts w:cstheme="minorHAnsi"/>
                <w:sz w:val="20"/>
                <w:szCs w:val="20"/>
                <w:lang w:val="fr-FR"/>
              </w:rPr>
            </w:pPr>
          </w:p>
        </w:tc>
        <w:tc>
          <w:tcPr>
            <w:tcW w:w="3085" w:type="dxa"/>
            <w:tcBorders>
              <w:bottom w:val="single" w:sz="4" w:space="0" w:color="auto"/>
            </w:tcBorders>
          </w:tcPr>
          <w:p w:rsidR="00945BF6" w:rsidRPr="00817D05" w:rsidRDefault="00945BF6" w:rsidP="00945BF6">
            <w:pPr>
              <w:rPr>
                <w:rFonts w:cstheme="minorHAnsi"/>
                <w:sz w:val="20"/>
                <w:szCs w:val="20"/>
                <w:lang w:val="fr-BE"/>
              </w:rPr>
            </w:pPr>
            <w:r w:rsidRPr="00817D05">
              <w:rPr>
                <w:rFonts w:cstheme="minorHAnsi"/>
                <w:sz w:val="20"/>
                <w:szCs w:val="20"/>
                <w:lang w:val="fr-BE"/>
              </w:rPr>
              <w:lastRenderedPageBreak/>
              <w:t>Des entreprises individuelles</w:t>
            </w:r>
          </w:p>
          <w:p w:rsidR="00945BF6" w:rsidRPr="00817D05" w:rsidRDefault="00945BF6" w:rsidP="00945BF6">
            <w:pPr>
              <w:rPr>
                <w:rFonts w:cstheme="minorHAnsi"/>
                <w:sz w:val="20"/>
                <w:szCs w:val="20"/>
                <w:lang w:val="fr-BE"/>
              </w:rPr>
            </w:pPr>
          </w:p>
          <w:p w:rsidR="00945BF6" w:rsidRPr="00817D05" w:rsidRDefault="00945BF6" w:rsidP="00945BF6">
            <w:pPr>
              <w:rPr>
                <w:rFonts w:cstheme="minorHAnsi"/>
                <w:sz w:val="20"/>
                <w:szCs w:val="20"/>
                <w:lang w:val="fr-BE"/>
              </w:rPr>
            </w:pPr>
            <w:r w:rsidRPr="00817D05">
              <w:rPr>
                <w:rFonts w:cstheme="minorHAnsi"/>
                <w:sz w:val="20"/>
                <w:szCs w:val="20"/>
                <w:lang w:val="fr-BE"/>
              </w:rPr>
              <w:t>Les écoles d’enseignement secondaire de plein exercice</w:t>
            </w:r>
          </w:p>
          <w:p w:rsidR="00945BF6" w:rsidRPr="00817D05" w:rsidRDefault="00945BF6" w:rsidP="00945BF6">
            <w:pPr>
              <w:rPr>
                <w:rFonts w:cstheme="minorHAnsi"/>
                <w:sz w:val="20"/>
                <w:szCs w:val="20"/>
                <w:lang w:val="fr-BE"/>
              </w:rPr>
            </w:pPr>
          </w:p>
          <w:p w:rsidR="00945BF6" w:rsidRPr="00817D05" w:rsidRDefault="00945BF6" w:rsidP="00945BF6">
            <w:pPr>
              <w:rPr>
                <w:rFonts w:cstheme="minorHAnsi"/>
                <w:sz w:val="20"/>
                <w:szCs w:val="20"/>
                <w:lang w:val="fr-BE"/>
              </w:rPr>
            </w:pPr>
            <w:r w:rsidRPr="00817D05">
              <w:rPr>
                <w:rFonts w:cstheme="minorHAnsi"/>
                <w:color w:val="333333"/>
                <w:sz w:val="20"/>
                <w:szCs w:val="20"/>
                <w:shd w:val="clear" w:color="auto" w:fill="FFFFFF"/>
                <w:lang w:val="fr-BE"/>
              </w:rPr>
              <w:t>Les centres d’Education et de Formation en Alternance</w:t>
            </w:r>
          </w:p>
          <w:p w:rsidR="00945BF6" w:rsidRPr="00817D05" w:rsidRDefault="00945BF6" w:rsidP="00945BF6">
            <w:pPr>
              <w:rPr>
                <w:rFonts w:cstheme="minorHAnsi"/>
                <w:sz w:val="20"/>
                <w:szCs w:val="20"/>
                <w:lang w:val="fr-BE"/>
              </w:rPr>
            </w:pPr>
          </w:p>
          <w:p w:rsidR="00945BF6" w:rsidRPr="00817D05" w:rsidRDefault="00945BF6" w:rsidP="00945BF6">
            <w:pPr>
              <w:rPr>
                <w:rFonts w:cstheme="minorHAnsi"/>
                <w:sz w:val="20"/>
                <w:szCs w:val="20"/>
                <w:lang w:val="fr-BE"/>
              </w:rPr>
            </w:pPr>
            <w:r w:rsidRPr="00817D05">
              <w:rPr>
                <w:rFonts w:cstheme="minorHAnsi"/>
                <w:sz w:val="20"/>
                <w:szCs w:val="20"/>
                <w:lang w:val="fr-BE"/>
              </w:rPr>
              <w:lastRenderedPageBreak/>
              <w:t>IFAPME</w:t>
            </w:r>
          </w:p>
        </w:tc>
        <w:tc>
          <w:tcPr>
            <w:tcW w:w="2443" w:type="dxa"/>
            <w:tcBorders>
              <w:bottom w:val="single" w:sz="4" w:space="0" w:color="auto"/>
            </w:tcBorders>
          </w:tcPr>
          <w:p w:rsidR="00945BF6" w:rsidRPr="00817D05" w:rsidRDefault="00945BF6" w:rsidP="00945BF6">
            <w:pPr>
              <w:rPr>
                <w:rFonts w:cstheme="minorHAnsi"/>
                <w:sz w:val="20"/>
                <w:szCs w:val="20"/>
                <w:lang w:val="fr-BE"/>
              </w:rPr>
            </w:pPr>
            <w:r w:rsidRPr="00817D05">
              <w:rPr>
                <w:rFonts w:cstheme="minorHAnsi"/>
                <w:sz w:val="20"/>
                <w:szCs w:val="20"/>
                <w:lang w:val="fr-BE"/>
              </w:rPr>
              <w:lastRenderedPageBreak/>
              <w:t xml:space="preserve">En complément aux deux volets précédents de notre proposition de projet, le troisième volet se penche explicitement sur les jeunes dans un régime d'apprentissage en alternance, plus </w:t>
            </w:r>
            <w:r w:rsidRPr="00817D05">
              <w:rPr>
                <w:rFonts w:cstheme="minorHAnsi"/>
                <w:sz w:val="20"/>
                <w:szCs w:val="20"/>
                <w:lang w:val="fr-BE"/>
              </w:rPr>
              <w:lastRenderedPageBreak/>
              <w:t>précisément les jeunes qui sont formés à une profession dans la construction au sein d'une entreprise de construction.</w:t>
            </w:r>
          </w:p>
          <w:p w:rsidR="00945BF6" w:rsidRPr="00817D05" w:rsidRDefault="00945BF6" w:rsidP="00945BF6">
            <w:pPr>
              <w:rPr>
                <w:rFonts w:cstheme="minorHAnsi"/>
                <w:sz w:val="20"/>
                <w:szCs w:val="20"/>
                <w:lang w:val="fr-BE"/>
              </w:rPr>
            </w:pPr>
            <w:r w:rsidRPr="00817D05">
              <w:rPr>
                <w:rFonts w:cstheme="minorHAnsi"/>
                <w:sz w:val="20"/>
                <w:szCs w:val="20"/>
                <w:lang w:val="fr-BE"/>
              </w:rPr>
              <w:t>L'apprentissage en alternance comprend une relation en triangle : l'élève, l'école et l'entreprise de construction sont parties au contrat. Ces trois parties sont le public cible des actions dans la présente proposition de projet. Néanmoins, les actions visent principalement l'entreprise de construction. C'est l'entreprise de construction qui – avec le soutien de Constructiv – intègre dans les actions les autres parties de cette relation en triangle.</w:t>
            </w:r>
          </w:p>
          <w:p w:rsidR="00945BF6" w:rsidRPr="00817D05" w:rsidRDefault="00945BF6" w:rsidP="00945BF6">
            <w:pPr>
              <w:rPr>
                <w:rFonts w:cstheme="minorHAnsi"/>
                <w:sz w:val="20"/>
                <w:szCs w:val="20"/>
                <w:lang w:val="fr-BE"/>
              </w:rPr>
            </w:pPr>
          </w:p>
        </w:tc>
        <w:tc>
          <w:tcPr>
            <w:tcW w:w="1276" w:type="dxa"/>
            <w:tcBorders>
              <w:bottom w:val="single" w:sz="4" w:space="0" w:color="auto"/>
            </w:tcBorders>
          </w:tcPr>
          <w:p w:rsidR="00945BF6" w:rsidRPr="00817D05" w:rsidRDefault="00945BF6" w:rsidP="00945BF6">
            <w:pPr>
              <w:rPr>
                <w:rFonts w:cstheme="minorHAnsi"/>
                <w:sz w:val="20"/>
                <w:szCs w:val="20"/>
              </w:rPr>
            </w:pPr>
            <w:r w:rsidRPr="00817D05">
              <w:rPr>
                <w:rFonts w:cstheme="minorHAnsi"/>
                <w:sz w:val="20"/>
                <w:szCs w:val="20"/>
              </w:rPr>
              <w:lastRenderedPageBreak/>
              <w:t>1</w:t>
            </w:r>
            <w:r>
              <w:rPr>
                <w:rFonts w:cstheme="minorHAnsi"/>
                <w:sz w:val="20"/>
                <w:szCs w:val="20"/>
              </w:rPr>
              <w:t>.</w:t>
            </w:r>
            <w:r w:rsidRPr="00817D05">
              <w:rPr>
                <w:rFonts w:cstheme="minorHAnsi"/>
                <w:sz w:val="20"/>
                <w:szCs w:val="20"/>
              </w:rPr>
              <w:t>000</w:t>
            </w:r>
          </w:p>
        </w:tc>
        <w:tc>
          <w:tcPr>
            <w:tcW w:w="1491" w:type="dxa"/>
          </w:tcPr>
          <w:p w:rsidR="00945BF6" w:rsidRPr="00817D05" w:rsidRDefault="00945BF6" w:rsidP="00945BF6">
            <w:pPr>
              <w:rPr>
                <w:rFonts w:cstheme="minorHAnsi"/>
                <w:sz w:val="20"/>
                <w:szCs w:val="20"/>
              </w:rPr>
            </w:pPr>
            <w:r w:rsidRPr="00817D05">
              <w:rPr>
                <w:rFonts w:cstheme="minorHAnsi"/>
                <w:sz w:val="20"/>
                <w:szCs w:val="20"/>
              </w:rPr>
              <w:t>€ 1</w:t>
            </w:r>
            <w:r>
              <w:rPr>
                <w:rFonts w:cstheme="minorHAnsi"/>
                <w:sz w:val="20"/>
                <w:szCs w:val="20"/>
              </w:rPr>
              <w:t>.</w:t>
            </w:r>
            <w:r w:rsidRPr="00817D05">
              <w:rPr>
                <w:rFonts w:cstheme="minorHAnsi"/>
                <w:sz w:val="20"/>
                <w:szCs w:val="20"/>
              </w:rPr>
              <w:t>076</w:t>
            </w:r>
            <w:r>
              <w:rPr>
                <w:rFonts w:cstheme="minorHAnsi"/>
                <w:sz w:val="20"/>
                <w:szCs w:val="20"/>
              </w:rPr>
              <w:t>.</w:t>
            </w:r>
            <w:r w:rsidRPr="00817D05">
              <w:rPr>
                <w:rFonts w:cstheme="minorHAnsi"/>
                <w:sz w:val="20"/>
                <w:szCs w:val="20"/>
              </w:rPr>
              <w:t>374,72</w:t>
            </w:r>
          </w:p>
        </w:tc>
      </w:tr>
      <w:tr w:rsidR="00945BF6" w:rsidRPr="00817D05" w:rsidTr="00945BF6">
        <w:trPr>
          <w:trHeight w:val="707"/>
        </w:trPr>
        <w:tc>
          <w:tcPr>
            <w:tcW w:w="11482" w:type="dxa"/>
            <w:gridSpan w:val="5"/>
            <w:tcBorders>
              <w:top w:val="nil"/>
              <w:left w:val="nil"/>
              <w:bottom w:val="nil"/>
            </w:tcBorders>
          </w:tcPr>
          <w:p w:rsidR="00945BF6" w:rsidRPr="00817D05" w:rsidRDefault="00945BF6" w:rsidP="00945BF6">
            <w:pPr>
              <w:jc w:val="right"/>
              <w:rPr>
                <w:rFonts w:cstheme="minorHAnsi"/>
                <w:sz w:val="20"/>
                <w:szCs w:val="20"/>
              </w:rPr>
            </w:pPr>
            <w:r w:rsidRPr="00817D05">
              <w:rPr>
                <w:rFonts w:cstheme="minorHAnsi"/>
                <w:sz w:val="20"/>
                <w:szCs w:val="20"/>
              </w:rPr>
              <w:t>Total</w:t>
            </w:r>
          </w:p>
        </w:tc>
        <w:tc>
          <w:tcPr>
            <w:tcW w:w="1276" w:type="dxa"/>
          </w:tcPr>
          <w:p w:rsidR="00945BF6" w:rsidRPr="00817D05" w:rsidRDefault="00945BF6" w:rsidP="00945BF6">
            <w:pPr>
              <w:rPr>
                <w:rFonts w:cstheme="minorHAnsi"/>
                <w:sz w:val="20"/>
                <w:szCs w:val="20"/>
              </w:rPr>
            </w:pPr>
            <w:r w:rsidRPr="00817D05">
              <w:rPr>
                <w:rFonts w:cstheme="minorHAnsi"/>
                <w:sz w:val="20"/>
                <w:szCs w:val="20"/>
              </w:rPr>
              <w:t>5</w:t>
            </w:r>
            <w:r>
              <w:rPr>
                <w:rFonts w:cstheme="minorHAnsi"/>
                <w:sz w:val="20"/>
                <w:szCs w:val="20"/>
              </w:rPr>
              <w:t>.</w:t>
            </w:r>
            <w:r w:rsidRPr="00817D05">
              <w:rPr>
                <w:rFonts w:cstheme="minorHAnsi"/>
                <w:sz w:val="20"/>
                <w:szCs w:val="20"/>
              </w:rPr>
              <w:t xml:space="preserve">000 </w:t>
            </w:r>
            <w:proofErr w:type="spellStart"/>
            <w:r w:rsidRPr="00817D05">
              <w:rPr>
                <w:rFonts w:cstheme="minorHAnsi"/>
                <w:sz w:val="20"/>
                <w:szCs w:val="20"/>
              </w:rPr>
              <w:t>jeunes</w:t>
            </w:r>
            <w:proofErr w:type="spellEnd"/>
          </w:p>
          <w:p w:rsidR="00945BF6" w:rsidRPr="00817D05" w:rsidRDefault="00945BF6" w:rsidP="00945BF6">
            <w:pPr>
              <w:rPr>
                <w:rFonts w:cstheme="minorHAnsi"/>
                <w:sz w:val="20"/>
                <w:szCs w:val="20"/>
              </w:rPr>
            </w:pPr>
            <w:r w:rsidRPr="00817D05">
              <w:rPr>
                <w:rFonts w:cstheme="minorHAnsi"/>
                <w:sz w:val="20"/>
                <w:szCs w:val="20"/>
              </w:rPr>
              <w:t>1</w:t>
            </w:r>
            <w:r>
              <w:rPr>
                <w:rFonts w:cstheme="minorHAnsi"/>
                <w:sz w:val="20"/>
                <w:szCs w:val="20"/>
              </w:rPr>
              <w:t>.</w:t>
            </w:r>
            <w:r w:rsidRPr="00817D05">
              <w:rPr>
                <w:rFonts w:cstheme="minorHAnsi"/>
                <w:sz w:val="20"/>
                <w:szCs w:val="20"/>
              </w:rPr>
              <w:t xml:space="preserve">000  </w:t>
            </w:r>
            <w:proofErr w:type="spellStart"/>
            <w:r w:rsidRPr="00817D05">
              <w:rPr>
                <w:rFonts w:cstheme="minorHAnsi"/>
                <w:sz w:val="20"/>
                <w:szCs w:val="20"/>
              </w:rPr>
              <w:t>entreprises</w:t>
            </w:r>
            <w:proofErr w:type="spellEnd"/>
          </w:p>
        </w:tc>
        <w:tc>
          <w:tcPr>
            <w:tcW w:w="1491" w:type="dxa"/>
          </w:tcPr>
          <w:p w:rsidR="00945BF6" w:rsidRPr="00817D05" w:rsidRDefault="00945BF6" w:rsidP="00945BF6">
            <w:pPr>
              <w:rPr>
                <w:rFonts w:cstheme="minorHAnsi"/>
                <w:sz w:val="20"/>
                <w:szCs w:val="20"/>
              </w:rPr>
            </w:pPr>
            <w:r w:rsidRPr="00817D05">
              <w:rPr>
                <w:rFonts w:cstheme="minorHAnsi"/>
                <w:sz w:val="20"/>
                <w:szCs w:val="20"/>
              </w:rPr>
              <w:t>€ 2</w:t>
            </w:r>
            <w:r>
              <w:rPr>
                <w:rFonts w:cstheme="minorHAnsi"/>
                <w:sz w:val="20"/>
                <w:szCs w:val="20"/>
              </w:rPr>
              <w:t>.</w:t>
            </w:r>
            <w:r w:rsidRPr="00817D05">
              <w:rPr>
                <w:rFonts w:cstheme="minorHAnsi"/>
                <w:sz w:val="20"/>
                <w:szCs w:val="20"/>
              </w:rPr>
              <w:t>152</w:t>
            </w:r>
            <w:r>
              <w:rPr>
                <w:rFonts w:cstheme="minorHAnsi"/>
                <w:sz w:val="20"/>
                <w:szCs w:val="20"/>
              </w:rPr>
              <w:t>.</w:t>
            </w:r>
            <w:r w:rsidRPr="00817D05">
              <w:rPr>
                <w:rFonts w:cstheme="minorHAnsi"/>
                <w:sz w:val="20"/>
                <w:szCs w:val="20"/>
              </w:rPr>
              <w:t>749,44</w:t>
            </w:r>
          </w:p>
        </w:tc>
      </w:tr>
    </w:tbl>
    <w:p w:rsidR="00817D05" w:rsidRPr="008C6726" w:rsidRDefault="00817D05" w:rsidP="00945BF6">
      <w:pPr>
        <w:pStyle w:val="Kop2"/>
        <w:rPr>
          <w:lang w:val="fr-BE"/>
        </w:rPr>
      </w:pPr>
    </w:p>
    <w:p w:rsidR="00817D05" w:rsidRPr="00817D05" w:rsidRDefault="00817D05">
      <w:pPr>
        <w:rPr>
          <w:lang w:val="fr-BE"/>
        </w:rPr>
      </w:pPr>
    </w:p>
    <w:p w:rsidR="00C80B0B" w:rsidRPr="008C6726" w:rsidRDefault="00C80B0B" w:rsidP="00817D05">
      <w:pPr>
        <w:rPr>
          <w:sz w:val="20"/>
          <w:u w:val="single"/>
          <w:lang w:val="fr-BE"/>
        </w:rPr>
      </w:pPr>
    </w:p>
    <w:sectPr w:rsidR="00C80B0B" w:rsidRPr="008C6726" w:rsidSect="004A0B4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F6" w:rsidRDefault="00945BF6" w:rsidP="00945BF6">
      <w:pPr>
        <w:spacing w:after="0" w:line="240" w:lineRule="auto"/>
      </w:pPr>
      <w:r>
        <w:separator/>
      </w:r>
    </w:p>
  </w:endnote>
  <w:endnote w:type="continuationSeparator" w:id="0">
    <w:p w:rsidR="00945BF6" w:rsidRDefault="00945BF6" w:rsidP="0094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F6" w:rsidRDefault="00945BF6" w:rsidP="00945BF6">
      <w:pPr>
        <w:spacing w:after="0" w:line="240" w:lineRule="auto"/>
      </w:pPr>
      <w:r>
        <w:separator/>
      </w:r>
    </w:p>
  </w:footnote>
  <w:footnote w:type="continuationSeparator" w:id="0">
    <w:p w:rsidR="00945BF6" w:rsidRDefault="00945BF6" w:rsidP="0094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F6" w:rsidRPr="00945BF6" w:rsidRDefault="00945BF6">
    <w:pPr>
      <w:pStyle w:val="Koptekst"/>
      <w:rPr>
        <w:u w:val="single"/>
        <w:lang w:val="fr-BE"/>
      </w:rPr>
    </w:pPr>
    <w:r w:rsidRPr="00945BF6">
      <w:rPr>
        <w:u w:val="single"/>
        <w:lang w:val="fr-BE"/>
      </w:rPr>
      <w:t>CP 124 : Projet supplémentaire en faveur des jeunes 2020-2021</w:t>
    </w:r>
  </w:p>
  <w:p w:rsidR="00945BF6" w:rsidRPr="00945BF6" w:rsidRDefault="00945BF6">
    <w:pPr>
      <w:pStyle w:val="Koptekst"/>
      <w:rPr>
        <w:u w:val="single"/>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94D"/>
    <w:multiLevelType w:val="hybridMultilevel"/>
    <w:tmpl w:val="73840B36"/>
    <w:lvl w:ilvl="0" w:tplc="50683FA2">
      <w:start w:val="1"/>
      <w:numFmt w:val="bullet"/>
      <w:pStyle w:val="Kop4"/>
      <w:lvlText w:val="▪"/>
      <w:lvlJc w:val="left"/>
      <w:pPr>
        <w:ind w:left="-2924" w:hanging="360"/>
      </w:pPr>
      <w:rPr>
        <w:rFonts w:ascii="Arial" w:hAnsi="Arial" w:hint="default"/>
        <w:color w:val="auto"/>
      </w:rPr>
    </w:lvl>
    <w:lvl w:ilvl="1" w:tplc="040C0003">
      <w:start w:val="1"/>
      <w:numFmt w:val="bullet"/>
      <w:lvlText w:val="o"/>
      <w:lvlJc w:val="left"/>
      <w:pPr>
        <w:tabs>
          <w:tab w:val="num" w:pos="-2916"/>
        </w:tabs>
        <w:ind w:left="-2916" w:hanging="360"/>
      </w:pPr>
      <w:rPr>
        <w:rFonts w:ascii="Courier New" w:hAnsi="Courier New" w:cs="Courier New" w:hint="default"/>
      </w:rPr>
    </w:lvl>
    <w:lvl w:ilvl="2" w:tplc="040C0005" w:tentative="1">
      <w:start w:val="1"/>
      <w:numFmt w:val="bullet"/>
      <w:lvlText w:val=""/>
      <w:lvlJc w:val="left"/>
      <w:pPr>
        <w:tabs>
          <w:tab w:val="num" w:pos="-2196"/>
        </w:tabs>
        <w:ind w:left="-2196" w:hanging="360"/>
      </w:pPr>
      <w:rPr>
        <w:rFonts w:ascii="Wingdings" w:hAnsi="Wingdings" w:hint="default"/>
      </w:rPr>
    </w:lvl>
    <w:lvl w:ilvl="3" w:tplc="040C0001" w:tentative="1">
      <w:start w:val="1"/>
      <w:numFmt w:val="bullet"/>
      <w:lvlText w:val=""/>
      <w:lvlJc w:val="left"/>
      <w:pPr>
        <w:tabs>
          <w:tab w:val="num" w:pos="-1476"/>
        </w:tabs>
        <w:ind w:left="-1476" w:hanging="360"/>
      </w:pPr>
      <w:rPr>
        <w:rFonts w:ascii="Symbol" w:hAnsi="Symbol" w:hint="default"/>
      </w:rPr>
    </w:lvl>
    <w:lvl w:ilvl="4" w:tplc="040C0003" w:tentative="1">
      <w:start w:val="1"/>
      <w:numFmt w:val="bullet"/>
      <w:lvlText w:val="o"/>
      <w:lvlJc w:val="left"/>
      <w:pPr>
        <w:tabs>
          <w:tab w:val="num" w:pos="-756"/>
        </w:tabs>
        <w:ind w:left="-756" w:hanging="360"/>
      </w:pPr>
      <w:rPr>
        <w:rFonts w:ascii="Courier New" w:hAnsi="Courier New" w:cs="Courier New" w:hint="default"/>
      </w:rPr>
    </w:lvl>
    <w:lvl w:ilvl="5" w:tplc="040C0005" w:tentative="1">
      <w:start w:val="1"/>
      <w:numFmt w:val="bullet"/>
      <w:lvlText w:val=""/>
      <w:lvlJc w:val="left"/>
      <w:pPr>
        <w:tabs>
          <w:tab w:val="num" w:pos="-36"/>
        </w:tabs>
        <w:ind w:left="-36" w:hanging="360"/>
      </w:pPr>
      <w:rPr>
        <w:rFonts w:ascii="Wingdings" w:hAnsi="Wingdings" w:hint="default"/>
      </w:rPr>
    </w:lvl>
    <w:lvl w:ilvl="6" w:tplc="040C0001" w:tentative="1">
      <w:start w:val="1"/>
      <w:numFmt w:val="bullet"/>
      <w:lvlText w:val=""/>
      <w:lvlJc w:val="left"/>
      <w:pPr>
        <w:tabs>
          <w:tab w:val="num" w:pos="684"/>
        </w:tabs>
        <w:ind w:left="684" w:hanging="360"/>
      </w:pPr>
      <w:rPr>
        <w:rFonts w:ascii="Symbol" w:hAnsi="Symbol" w:hint="default"/>
      </w:rPr>
    </w:lvl>
    <w:lvl w:ilvl="7" w:tplc="040C0003" w:tentative="1">
      <w:start w:val="1"/>
      <w:numFmt w:val="bullet"/>
      <w:lvlText w:val="o"/>
      <w:lvlJc w:val="left"/>
      <w:pPr>
        <w:tabs>
          <w:tab w:val="num" w:pos="1404"/>
        </w:tabs>
        <w:ind w:left="1404" w:hanging="360"/>
      </w:pPr>
      <w:rPr>
        <w:rFonts w:ascii="Courier New" w:hAnsi="Courier New" w:cs="Courier New" w:hint="default"/>
      </w:rPr>
    </w:lvl>
    <w:lvl w:ilvl="8" w:tplc="040C0005" w:tentative="1">
      <w:start w:val="1"/>
      <w:numFmt w:val="bullet"/>
      <w:lvlText w:val=""/>
      <w:lvlJc w:val="left"/>
      <w:pPr>
        <w:tabs>
          <w:tab w:val="num" w:pos="2124"/>
        </w:tabs>
        <w:ind w:left="2124" w:hanging="360"/>
      </w:pPr>
      <w:rPr>
        <w:rFonts w:ascii="Wingdings" w:hAnsi="Wingdings" w:hint="default"/>
      </w:rPr>
    </w:lvl>
  </w:abstractNum>
  <w:abstractNum w:abstractNumId="1"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882789"/>
    <w:multiLevelType w:val="hybridMultilevel"/>
    <w:tmpl w:val="EDBCED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EF241C"/>
    <w:multiLevelType w:val="hybridMultilevel"/>
    <w:tmpl w:val="3EB4DA08"/>
    <w:lvl w:ilvl="0" w:tplc="1486CB06">
      <w:start w:val="1"/>
      <w:numFmt w:val="upp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066AE5"/>
    <w:multiLevelType w:val="hybridMultilevel"/>
    <w:tmpl w:val="F3AEE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63E61"/>
    <w:rsid w:val="00116A2D"/>
    <w:rsid w:val="00142309"/>
    <w:rsid w:val="001E0B01"/>
    <w:rsid w:val="002C707A"/>
    <w:rsid w:val="002E5A5D"/>
    <w:rsid w:val="00303432"/>
    <w:rsid w:val="003B3BEA"/>
    <w:rsid w:val="003C257F"/>
    <w:rsid w:val="00414741"/>
    <w:rsid w:val="004A0B40"/>
    <w:rsid w:val="00542870"/>
    <w:rsid w:val="00575012"/>
    <w:rsid w:val="005F73F4"/>
    <w:rsid w:val="007A4849"/>
    <w:rsid w:val="00817D05"/>
    <w:rsid w:val="008C6726"/>
    <w:rsid w:val="009118AF"/>
    <w:rsid w:val="00945BF6"/>
    <w:rsid w:val="00A77B98"/>
    <w:rsid w:val="00AC754A"/>
    <w:rsid w:val="00C70C95"/>
    <w:rsid w:val="00C80B0B"/>
    <w:rsid w:val="00CB3075"/>
    <w:rsid w:val="00CC11A7"/>
    <w:rsid w:val="00D3776C"/>
    <w:rsid w:val="00E8665E"/>
    <w:rsid w:val="00F15722"/>
    <w:rsid w:val="00F41306"/>
    <w:rsid w:val="00F6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675"/>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45B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qFormat/>
    <w:rsid w:val="00063E61"/>
    <w:pPr>
      <w:keepNext/>
      <w:numPr>
        <w:numId w:val="6"/>
      </w:numPr>
      <w:spacing w:after="0" w:line="240" w:lineRule="auto"/>
      <w:jc w:val="both"/>
      <w:outlineLvl w:val="3"/>
    </w:pPr>
    <w:rPr>
      <w:rFonts w:asciiTheme="majorHAnsi" w:eastAsia="Times New Roman" w:hAnsiTheme="majorHAnsi" w:cs="Times New Roman"/>
      <w:bCs/>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character" w:customStyle="1" w:styleId="Kop4Char">
    <w:name w:val="Kop 4 Char"/>
    <w:basedOn w:val="Standaardalinea-lettertype"/>
    <w:link w:val="Kop4"/>
    <w:rsid w:val="00063E61"/>
    <w:rPr>
      <w:rFonts w:asciiTheme="majorHAnsi" w:eastAsia="Times New Roman" w:hAnsiTheme="majorHAnsi" w:cs="Times New Roman"/>
      <w:bCs/>
      <w:lang w:val="fr-FR" w:eastAsia="fr-FR"/>
    </w:rPr>
  </w:style>
  <w:style w:type="character" w:customStyle="1" w:styleId="Kop2Char">
    <w:name w:val="Kop 2 Char"/>
    <w:basedOn w:val="Standaardalinea-lettertype"/>
    <w:link w:val="Kop2"/>
    <w:uiPriority w:val="9"/>
    <w:rsid w:val="00945BF6"/>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945B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BF6"/>
  </w:style>
  <w:style w:type="paragraph" w:styleId="Voettekst">
    <w:name w:val="footer"/>
    <w:basedOn w:val="Standaard"/>
    <w:link w:val="VoettekstChar"/>
    <w:uiPriority w:val="99"/>
    <w:unhideWhenUsed/>
    <w:rsid w:val="00945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2379</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Werkgelegenheid, Arbeid en Sociaal Overleg</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cp:lastModifiedBy>
  <cp:revision>4</cp:revision>
  <dcterms:created xsi:type="dcterms:W3CDTF">2020-01-20T08:13:00Z</dcterms:created>
  <dcterms:modified xsi:type="dcterms:W3CDTF">2020-02-28T14:43:00Z</dcterms:modified>
</cp:coreProperties>
</file>