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7"/>
        <w:tblpPr w:leftFromText="141" w:rightFromText="141" w:vertAnchor="page" w:horzAnchor="margin" w:tblpXSpec="center" w:tblpY="1753"/>
        <w:tblW w:w="14424" w:type="dxa"/>
        <w:tblLayout w:type="fixed"/>
        <w:tblLook w:val="04A0" w:firstRow="1" w:lastRow="0" w:firstColumn="1" w:lastColumn="0" w:noHBand="0" w:noVBand="1"/>
      </w:tblPr>
      <w:tblGrid>
        <w:gridCol w:w="851"/>
        <w:gridCol w:w="1525"/>
        <w:gridCol w:w="4395"/>
        <w:gridCol w:w="2268"/>
        <w:gridCol w:w="1701"/>
        <w:gridCol w:w="1842"/>
        <w:gridCol w:w="1842"/>
      </w:tblGrid>
      <w:tr w:rsidR="00226EC5" w:rsidRPr="00066B65" w:rsidTr="00611A13">
        <w:trPr>
          <w:trHeight w:val="481"/>
        </w:trPr>
        <w:tc>
          <w:tcPr>
            <w:tcW w:w="851" w:type="dxa"/>
            <w:vMerge w:val="restart"/>
            <w:tcBorders>
              <w:top w:val="nil"/>
              <w:left w:val="nil"/>
            </w:tcBorders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</w:p>
        </w:tc>
        <w:tc>
          <w:tcPr>
            <w:tcW w:w="1525" w:type="dxa"/>
            <w:vMerge w:val="restart"/>
            <w:shd w:val="clear" w:color="auto" w:fill="B4C6E7" w:themeFill="accent1" w:themeFillTint="66"/>
            <w:vAlign w:val="center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Intitulé de l'action</w:t>
            </w:r>
          </w:p>
        </w:tc>
        <w:tc>
          <w:tcPr>
            <w:tcW w:w="4395" w:type="dxa"/>
            <w:vMerge w:val="restart"/>
            <w:shd w:val="clear" w:color="auto" w:fill="B4C6E7" w:themeFill="accent1" w:themeFillTint="66"/>
            <w:vAlign w:val="center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Objectifs poursuivis</w:t>
            </w:r>
          </w:p>
        </w:tc>
        <w:tc>
          <w:tcPr>
            <w:tcW w:w="2268" w:type="dxa"/>
            <w:vMerge w:val="restart"/>
            <w:shd w:val="clear" w:color="auto" w:fill="B4C6E7" w:themeFill="accent1" w:themeFillTint="66"/>
            <w:vAlign w:val="center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Collaboration(s) avec… (d’autres organisations)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Groupe cible</w:t>
            </w:r>
          </w:p>
        </w:tc>
        <w:tc>
          <w:tcPr>
            <w:tcW w:w="1842" w:type="dxa"/>
            <w:vMerge w:val="restart"/>
            <w:shd w:val="clear" w:color="auto" w:fill="B4C6E7" w:themeFill="accent1" w:themeFillTint="66"/>
            <w:vAlign w:val="center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Nombre de participants envisagé</w:t>
            </w:r>
          </w:p>
        </w:tc>
        <w:tc>
          <w:tcPr>
            <w:tcW w:w="1842" w:type="dxa"/>
            <w:vMerge w:val="restart"/>
            <w:shd w:val="clear" w:color="auto" w:fill="B4C6E7" w:themeFill="accent1" w:themeFillTint="66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Moyens du projet supplémentaire </w:t>
            </w:r>
          </w:p>
        </w:tc>
      </w:tr>
      <w:tr w:rsidR="00226EC5" w:rsidRPr="00066B65" w:rsidTr="00611A13">
        <w:trPr>
          <w:trHeight w:val="481"/>
        </w:trPr>
        <w:tc>
          <w:tcPr>
            <w:tcW w:w="851" w:type="dxa"/>
            <w:vMerge/>
            <w:tcBorders>
              <w:left w:val="nil"/>
            </w:tcBorders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</w:p>
        </w:tc>
        <w:tc>
          <w:tcPr>
            <w:tcW w:w="1525" w:type="dxa"/>
            <w:vMerge/>
            <w:shd w:val="clear" w:color="auto" w:fill="B4C6E7" w:themeFill="accent1" w:themeFillTint="66"/>
            <w:vAlign w:val="center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4395" w:type="dxa"/>
            <w:vMerge/>
            <w:shd w:val="clear" w:color="auto" w:fill="B4C6E7" w:themeFill="accent1" w:themeFillTint="66"/>
            <w:vAlign w:val="center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2268" w:type="dxa"/>
            <w:vMerge/>
            <w:shd w:val="clear" w:color="auto" w:fill="B4C6E7" w:themeFill="accent1" w:themeFillTint="66"/>
            <w:vAlign w:val="center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  <w:vAlign w:val="center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1842" w:type="dxa"/>
            <w:vMerge/>
            <w:shd w:val="clear" w:color="auto" w:fill="B4C6E7" w:themeFill="accent1" w:themeFillTint="66"/>
            <w:vAlign w:val="center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1842" w:type="dxa"/>
            <w:vMerge/>
            <w:shd w:val="clear" w:color="auto" w:fill="B4C6E7" w:themeFill="accent1" w:themeFillTint="66"/>
          </w:tcPr>
          <w:p w:rsidR="00226EC5" w:rsidRPr="00066B65" w:rsidRDefault="00226EC5" w:rsidP="00611A13">
            <w:pPr>
              <w:jc w:val="center"/>
              <w:rPr>
                <w:sz w:val="20"/>
                <w:lang w:val="fr-BE"/>
              </w:rPr>
            </w:pPr>
          </w:p>
        </w:tc>
      </w:tr>
      <w:tr w:rsidR="00226EC5" w:rsidRPr="00066B65" w:rsidTr="00611A13">
        <w:trPr>
          <w:trHeight w:val="593"/>
        </w:trPr>
        <w:tc>
          <w:tcPr>
            <w:tcW w:w="851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1</w:t>
            </w:r>
          </w:p>
        </w:tc>
        <w:tc>
          <w:tcPr>
            <w:tcW w:w="1525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Un job qui dit merci: accueil </w:t>
            </w:r>
          </w:p>
        </w:tc>
        <w:tc>
          <w:tcPr>
            <w:tcW w:w="4395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Développer une méthode d’accueil innovante dans trois régions pilotes et inciter le VDAB/le Forem/ACTIRIS à développer une méthodologie permettant aux jeunes difficilement accessibles de faire connaissance avec le travail et leur offrir l’opportunité de décrocher un emploi via la formation, des événements, des rencontres-éclair et des ateliers. Après avoir développé cette méthode, nous souhaitons la déployer plus avant dans notre fonctionnement régulier.</w:t>
            </w:r>
          </w:p>
        </w:tc>
        <w:tc>
          <w:tcPr>
            <w:tcW w:w="2268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VDAB, ville de Gand, entreprises de titres-services</w:t>
            </w:r>
          </w:p>
        </w:tc>
        <w:tc>
          <w:tcPr>
            <w:tcW w:w="1701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demandeurs d'emploi et inactifs âgés de moins de 26 ans</w:t>
            </w:r>
          </w:p>
        </w:tc>
        <w:tc>
          <w:tcPr>
            <w:tcW w:w="1842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200 jeunes</w:t>
            </w:r>
          </w:p>
        </w:tc>
        <w:tc>
          <w:tcPr>
            <w:tcW w:w="1842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435.000 € </w:t>
            </w:r>
          </w:p>
        </w:tc>
      </w:tr>
      <w:tr w:rsidR="00226EC5" w:rsidRPr="00066B65" w:rsidTr="00611A13">
        <w:trPr>
          <w:trHeight w:val="593"/>
        </w:trPr>
        <w:tc>
          <w:tcPr>
            <w:tcW w:w="851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</w:t>
            </w:r>
          </w:p>
        </w:tc>
        <w:tc>
          <w:tcPr>
            <w:tcW w:w="1525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Un job qui dit merci: soft </w:t>
            </w:r>
            <w:proofErr w:type="spellStart"/>
            <w:r w:rsidRPr="00066B65">
              <w:rPr>
                <w:sz w:val="20"/>
                <w:lang w:val="fr-BE"/>
              </w:rPr>
              <w:t>skills</w:t>
            </w:r>
            <w:proofErr w:type="spellEnd"/>
          </w:p>
        </w:tc>
        <w:tc>
          <w:tcPr>
            <w:tcW w:w="4395" w:type="dxa"/>
          </w:tcPr>
          <w:p w:rsidR="00226EC5" w:rsidRPr="00066B65" w:rsidRDefault="00226EC5" w:rsidP="00611A13">
            <w:pPr>
              <w:rPr>
                <w:rFonts w:ascii="Calibri" w:hAnsi="Calibri" w:cs="Calibri"/>
                <w:color w:val="000000" w:themeColor="text1"/>
                <w:lang w:val="fr-BE"/>
              </w:rPr>
            </w:pPr>
            <w:r w:rsidRPr="00066B65">
              <w:rPr>
                <w:rFonts w:ascii="Calibri" w:hAnsi="Calibri" w:cs="Calibri"/>
                <w:color w:val="000000" w:themeColor="text1"/>
                <w:lang w:val="fr-BE"/>
              </w:rPr>
              <w:t xml:space="preserve">Développement des « soft </w:t>
            </w:r>
            <w:proofErr w:type="spellStart"/>
            <w:r w:rsidRPr="00066B65">
              <w:rPr>
                <w:rFonts w:ascii="Calibri" w:hAnsi="Calibri" w:cs="Calibri"/>
                <w:color w:val="000000" w:themeColor="text1"/>
                <w:lang w:val="fr-BE"/>
              </w:rPr>
              <w:t>skills</w:t>
            </w:r>
            <w:proofErr w:type="spellEnd"/>
            <w:r w:rsidRPr="00066B65">
              <w:rPr>
                <w:rFonts w:ascii="Calibri" w:hAnsi="Calibri" w:cs="Calibri"/>
                <w:color w:val="000000" w:themeColor="text1"/>
                <w:lang w:val="fr-BE"/>
              </w:rPr>
              <w:t xml:space="preserve"> » de nos jeunes. Ceci en mettant l’accent sur 3 nouvelles « soft </w:t>
            </w:r>
            <w:proofErr w:type="spellStart"/>
            <w:r w:rsidRPr="00066B65">
              <w:rPr>
                <w:rFonts w:ascii="Calibri" w:hAnsi="Calibri" w:cs="Calibri"/>
                <w:color w:val="000000" w:themeColor="text1"/>
                <w:lang w:val="fr-BE"/>
              </w:rPr>
              <w:t>skills</w:t>
            </w:r>
            <w:proofErr w:type="spellEnd"/>
            <w:r w:rsidRPr="00066B65">
              <w:rPr>
                <w:rFonts w:ascii="Calibri" w:hAnsi="Calibri" w:cs="Calibri"/>
                <w:color w:val="000000" w:themeColor="text1"/>
                <w:lang w:val="fr-BE"/>
              </w:rPr>
              <w:t xml:space="preserve"> » et en les rassemblant dans un outil en ligne, avec une possibilité d’auto-évaluation.</w:t>
            </w:r>
          </w:p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L’expérience que nous avons retirée du projet 2018-2019 nous a appris que les jeunes cherchent encore des repères en ce qui concerne les « soft </w:t>
            </w:r>
            <w:proofErr w:type="spellStart"/>
            <w:r w:rsidRPr="00066B65">
              <w:rPr>
                <w:sz w:val="20"/>
                <w:lang w:val="fr-BE"/>
              </w:rPr>
              <w:t>skills</w:t>
            </w:r>
            <w:proofErr w:type="spellEnd"/>
            <w:r w:rsidRPr="00066B65">
              <w:rPr>
                <w:sz w:val="20"/>
                <w:lang w:val="fr-BE"/>
              </w:rPr>
              <w:t xml:space="preserve"> ». Ils souhaitent disposer d’une preuve tangible de leurs compétences, ce qu’ils peuvent obtenir grâce à l’outil d’auto-évaluation en ligne, par exemple. Nous souhaitons dès lors développer cette action et un outil en ligne dans lequel nous pouvons cartographier les 7 différentes « soft </w:t>
            </w:r>
            <w:proofErr w:type="spellStart"/>
            <w:r w:rsidRPr="00066B65">
              <w:rPr>
                <w:sz w:val="20"/>
                <w:lang w:val="fr-BE"/>
              </w:rPr>
              <w:t>skills</w:t>
            </w:r>
            <w:proofErr w:type="spellEnd"/>
            <w:r w:rsidRPr="00066B65">
              <w:rPr>
                <w:sz w:val="20"/>
                <w:lang w:val="fr-BE"/>
              </w:rPr>
              <w:t xml:space="preserve"> » du jeune collaborateur.  </w:t>
            </w:r>
          </w:p>
        </w:tc>
        <w:tc>
          <w:tcPr>
            <w:tcW w:w="2268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entreprises, établissements d’enseignement ou de formation</w:t>
            </w:r>
          </w:p>
        </w:tc>
        <w:tc>
          <w:tcPr>
            <w:tcW w:w="1701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Jeunes de moins de 26 ans demandeurs d’emploi ou actifs</w:t>
            </w:r>
          </w:p>
        </w:tc>
        <w:tc>
          <w:tcPr>
            <w:tcW w:w="1842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Type d’apprentissage interactif et formation d’approfondissement: 10-20 séances en Belgique pour environ 30 jeunes par séance</w:t>
            </w:r>
          </w:p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Outil d’auto-évaluation des « soft </w:t>
            </w:r>
            <w:proofErr w:type="spellStart"/>
            <w:r w:rsidRPr="00066B65">
              <w:rPr>
                <w:sz w:val="20"/>
                <w:lang w:val="fr-BE"/>
              </w:rPr>
              <w:t>skills</w:t>
            </w:r>
            <w:proofErr w:type="spellEnd"/>
            <w:r w:rsidRPr="00066B65">
              <w:rPr>
                <w:sz w:val="20"/>
                <w:lang w:val="fr-BE"/>
              </w:rPr>
              <w:t xml:space="preserve"> »: nous tablons sur 500 jeunes.</w:t>
            </w:r>
          </w:p>
        </w:tc>
        <w:tc>
          <w:tcPr>
            <w:tcW w:w="1842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514.000 € </w:t>
            </w:r>
          </w:p>
        </w:tc>
      </w:tr>
      <w:tr w:rsidR="00226EC5" w:rsidRPr="00066B65" w:rsidTr="00611A13">
        <w:trPr>
          <w:trHeight w:val="593"/>
        </w:trPr>
        <w:tc>
          <w:tcPr>
            <w:tcW w:w="851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3</w:t>
            </w:r>
          </w:p>
        </w:tc>
        <w:tc>
          <w:tcPr>
            <w:tcW w:w="1525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Un job qui dit merci: site</w:t>
            </w:r>
          </w:p>
        </w:tc>
        <w:tc>
          <w:tcPr>
            <w:tcW w:w="4395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rFonts w:ascii="Calibri" w:hAnsi="Calibri" w:cs="Calibri"/>
                <w:color w:val="000000"/>
                <w:lang w:val="fr-BE"/>
              </w:rPr>
              <w:t>La campagne autour de « un job qui dit merci »</w:t>
            </w:r>
            <w:r>
              <w:rPr>
                <w:rFonts w:ascii="Calibri" w:hAnsi="Calibri" w:cs="Calibri"/>
                <w:color w:val="000000"/>
                <w:lang w:val="fr-BE"/>
              </w:rPr>
              <w:t>.</w:t>
            </w:r>
            <w:r w:rsidRPr="00066B65">
              <w:rPr>
                <w:rFonts w:ascii="Calibri" w:hAnsi="Calibri" w:cs="Calibri"/>
                <w:color w:val="000000"/>
                <w:lang w:val="fr-BE"/>
              </w:rPr>
              <w:t xml:space="preserve"> Nous voulons poursuivre le développement de cette campagne et l’étoffer avec du nouveau matériel comme des contenus d’apprentissage numériques,</w:t>
            </w:r>
            <w:r>
              <w:rPr>
                <w:rFonts w:ascii="Calibri" w:hAnsi="Calibri" w:cs="Calibri"/>
                <w:color w:val="000000"/>
                <w:lang w:val="fr-BE"/>
              </w:rPr>
              <w:t xml:space="preserve"> </w:t>
            </w:r>
            <w:r w:rsidRPr="00066B65">
              <w:rPr>
                <w:rFonts w:ascii="Calibri" w:hAnsi="Calibri" w:cs="Calibri"/>
                <w:color w:val="000000"/>
                <w:lang w:val="fr-BE"/>
              </w:rPr>
              <w:t>des journaux vidéo, des vlogs, des blogs, du matériel de promotion et une application de sollicitation d’emploi en ligne.</w:t>
            </w:r>
          </w:p>
        </w:tc>
        <w:tc>
          <w:tcPr>
            <w:tcW w:w="2268" w:type="dxa"/>
          </w:tcPr>
          <w:p w:rsidR="00226EC5" w:rsidRPr="00066B65" w:rsidRDefault="00226EC5" w:rsidP="00611A13">
            <w:pPr>
              <w:spacing w:after="160" w:line="259" w:lineRule="auto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entreprises, enseignement, autorités</w:t>
            </w:r>
          </w:p>
        </w:tc>
        <w:tc>
          <w:tcPr>
            <w:tcW w:w="1701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</w:p>
        </w:tc>
        <w:tc>
          <w:tcPr>
            <w:tcW w:w="1842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</w:p>
        </w:tc>
        <w:tc>
          <w:tcPr>
            <w:tcW w:w="1842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540.000 € </w:t>
            </w:r>
          </w:p>
        </w:tc>
      </w:tr>
      <w:tr w:rsidR="00226EC5" w:rsidRPr="00066B65" w:rsidTr="00611A13">
        <w:trPr>
          <w:trHeight w:val="593"/>
        </w:trPr>
        <w:tc>
          <w:tcPr>
            <w:tcW w:w="851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</w:p>
        </w:tc>
        <w:tc>
          <w:tcPr>
            <w:tcW w:w="1525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Frais généraux</w:t>
            </w:r>
          </w:p>
        </w:tc>
        <w:tc>
          <w:tcPr>
            <w:tcW w:w="4395" w:type="dxa"/>
          </w:tcPr>
          <w:p w:rsidR="00226EC5" w:rsidRPr="00066B65" w:rsidRDefault="00226EC5" w:rsidP="00611A13">
            <w:pPr>
              <w:rPr>
                <w:rFonts w:ascii="Calibri" w:hAnsi="Calibri" w:cs="Calibri"/>
                <w:color w:val="000000"/>
                <w:lang w:val="fr-BE"/>
              </w:rPr>
            </w:pPr>
          </w:p>
        </w:tc>
        <w:tc>
          <w:tcPr>
            <w:tcW w:w="2268" w:type="dxa"/>
          </w:tcPr>
          <w:p w:rsidR="00226EC5" w:rsidRPr="00066B65" w:rsidRDefault="00226EC5" w:rsidP="00611A13">
            <w:pPr>
              <w:spacing w:after="160" w:line="259" w:lineRule="auto"/>
              <w:rPr>
                <w:sz w:val="20"/>
                <w:lang w:val="fr-BE"/>
              </w:rPr>
            </w:pPr>
          </w:p>
        </w:tc>
        <w:tc>
          <w:tcPr>
            <w:tcW w:w="1701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</w:p>
        </w:tc>
        <w:tc>
          <w:tcPr>
            <w:tcW w:w="1842" w:type="dxa"/>
          </w:tcPr>
          <w:p w:rsidR="00226EC5" w:rsidRPr="00066B65" w:rsidRDefault="00226EC5" w:rsidP="00611A13">
            <w:pPr>
              <w:spacing w:after="160" w:line="259" w:lineRule="auto"/>
              <w:rPr>
                <w:sz w:val="20"/>
                <w:lang w:val="fr-BE"/>
              </w:rPr>
            </w:pPr>
          </w:p>
        </w:tc>
        <w:tc>
          <w:tcPr>
            <w:tcW w:w="1842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495.000 € </w:t>
            </w:r>
          </w:p>
        </w:tc>
      </w:tr>
      <w:tr w:rsidR="00226EC5" w:rsidRPr="00066B65" w:rsidTr="00611A13">
        <w:trPr>
          <w:trHeight w:val="707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</w:tcBorders>
          </w:tcPr>
          <w:p w:rsidR="00226EC5" w:rsidRPr="00066B65" w:rsidRDefault="00226EC5" w:rsidP="00611A13">
            <w:pPr>
              <w:jc w:val="right"/>
              <w:rPr>
                <w:sz w:val="28"/>
                <w:szCs w:val="30"/>
                <w:lang w:val="fr-BE"/>
              </w:rPr>
            </w:pPr>
          </w:p>
        </w:tc>
        <w:tc>
          <w:tcPr>
            <w:tcW w:w="1842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Total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26EC5" w:rsidRPr="00066B65" w:rsidRDefault="00226EC5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1.984.000 €</w:t>
            </w:r>
          </w:p>
        </w:tc>
      </w:tr>
    </w:tbl>
    <w:p w:rsidR="00AA4AE7" w:rsidRPr="00066B65" w:rsidRDefault="00AA4AE7" w:rsidP="00AA4AE7">
      <w:pPr>
        <w:rPr>
          <w:sz w:val="18"/>
          <w:szCs w:val="18"/>
          <w:lang w:val="fr-BE"/>
        </w:rPr>
      </w:pPr>
    </w:p>
    <w:p w:rsidR="008816EA" w:rsidRDefault="008816EA"/>
    <w:sectPr w:rsidR="008816EA" w:rsidSect="008816E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EA" w:rsidRDefault="008816EA" w:rsidP="008816EA">
      <w:pPr>
        <w:spacing w:after="0" w:line="240" w:lineRule="auto"/>
      </w:pPr>
      <w:r>
        <w:separator/>
      </w:r>
    </w:p>
  </w:endnote>
  <w:endnote w:type="continuationSeparator" w:id="0">
    <w:p w:rsidR="008816EA" w:rsidRDefault="008816EA" w:rsidP="0088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EA" w:rsidRDefault="008816EA" w:rsidP="008816EA">
      <w:pPr>
        <w:spacing w:after="0" w:line="240" w:lineRule="auto"/>
      </w:pPr>
      <w:r>
        <w:separator/>
      </w:r>
    </w:p>
  </w:footnote>
  <w:footnote w:type="continuationSeparator" w:id="0">
    <w:p w:rsidR="008816EA" w:rsidRDefault="008816EA" w:rsidP="0088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EA" w:rsidRPr="002E20A0" w:rsidRDefault="00AA4AE7" w:rsidP="002E20A0">
    <w:pPr>
      <w:rPr>
        <w:sz w:val="20"/>
        <w:u w:val="single"/>
        <w:lang w:val="fr-BE"/>
      </w:rPr>
    </w:pPr>
    <w:r>
      <w:rPr>
        <w:sz w:val="20"/>
        <w:u w:val="single"/>
        <w:lang w:val="fr-BE"/>
      </w:rPr>
      <w:t>sCP</w:t>
    </w:r>
    <w:r w:rsidR="002E20A0">
      <w:rPr>
        <w:sz w:val="20"/>
        <w:u w:val="single"/>
        <w:lang w:val="fr-BE"/>
      </w:rPr>
      <w:t>322</w:t>
    </w:r>
    <w:r>
      <w:rPr>
        <w:sz w:val="20"/>
        <w:u w:val="single"/>
        <w:lang w:val="fr-BE"/>
      </w:rPr>
      <w:t>.01</w:t>
    </w:r>
    <w:r w:rsidR="008816EA" w:rsidRPr="008C6726">
      <w:rPr>
        <w:sz w:val="20"/>
        <w:u w:val="single"/>
        <w:lang w:val="fr-BE"/>
      </w:rPr>
      <w:t xml:space="preserve"> : Projet supplémentaire en faveur des jeunes </w:t>
    </w:r>
    <w:r w:rsidR="008816EA">
      <w:rPr>
        <w:sz w:val="20"/>
        <w:u w:val="single"/>
        <w:lang w:val="fr-BE"/>
      </w:rPr>
      <w:t>2020-202</w:t>
    </w:r>
  </w:p>
  <w:p w:rsidR="008816EA" w:rsidRPr="008816EA" w:rsidRDefault="008816EA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9D3"/>
    <w:multiLevelType w:val="hybridMultilevel"/>
    <w:tmpl w:val="34EC89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6F80"/>
    <w:multiLevelType w:val="hybridMultilevel"/>
    <w:tmpl w:val="B0005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501"/>
    <w:multiLevelType w:val="hybridMultilevel"/>
    <w:tmpl w:val="0A48A5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87D"/>
    <w:multiLevelType w:val="hybridMultilevel"/>
    <w:tmpl w:val="D13216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B20"/>
    <w:multiLevelType w:val="hybridMultilevel"/>
    <w:tmpl w:val="E92013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E4D"/>
    <w:multiLevelType w:val="hybridMultilevel"/>
    <w:tmpl w:val="A7E6B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906"/>
    <w:multiLevelType w:val="hybridMultilevel"/>
    <w:tmpl w:val="FFC035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0BB3"/>
    <w:multiLevelType w:val="hybridMultilevel"/>
    <w:tmpl w:val="22D6C1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56ECF"/>
    <w:multiLevelType w:val="hybridMultilevel"/>
    <w:tmpl w:val="E92013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81B0F"/>
    <w:multiLevelType w:val="hybridMultilevel"/>
    <w:tmpl w:val="84E82F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71416"/>
    <w:multiLevelType w:val="hybridMultilevel"/>
    <w:tmpl w:val="92425A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D2E67"/>
    <w:multiLevelType w:val="hybridMultilevel"/>
    <w:tmpl w:val="4C142038"/>
    <w:lvl w:ilvl="0" w:tplc="F49A48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7767D"/>
    <w:multiLevelType w:val="hybridMultilevel"/>
    <w:tmpl w:val="F68856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790E1A"/>
    <w:multiLevelType w:val="hybridMultilevel"/>
    <w:tmpl w:val="E90048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4476C"/>
    <w:multiLevelType w:val="hybridMultilevel"/>
    <w:tmpl w:val="81FC1C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205E"/>
    <w:multiLevelType w:val="hybridMultilevel"/>
    <w:tmpl w:val="CC046F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45A4"/>
    <w:multiLevelType w:val="hybridMultilevel"/>
    <w:tmpl w:val="B2DA05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3"/>
  </w:num>
  <w:num w:numId="6">
    <w:abstractNumId w:val="11"/>
  </w:num>
  <w:num w:numId="7">
    <w:abstractNumId w:val="5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EA"/>
    <w:rsid w:val="00151439"/>
    <w:rsid w:val="001B4B6B"/>
    <w:rsid w:val="00226EC5"/>
    <w:rsid w:val="002E20A0"/>
    <w:rsid w:val="008816EA"/>
    <w:rsid w:val="00A67740"/>
    <w:rsid w:val="00A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794B"/>
  <w15:chartTrackingRefBased/>
  <w15:docId w15:val="{FD200352-3859-4F20-BED5-92A502B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16EA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16EA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6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6EA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8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6EA"/>
    <w:rPr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1B4B6B"/>
    <w:pPr>
      <w:spacing w:after="0" w:line="240" w:lineRule="auto"/>
    </w:pPr>
    <w:rPr>
      <w:rFonts w:ascii="Calibri" w:eastAsia="Calibri" w:hAnsi="Calibri" w:cs="Times New Roman"/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AA4AE7"/>
    <w:pPr>
      <w:spacing w:after="0" w:line="240" w:lineRule="auto"/>
    </w:pPr>
    <w:rPr>
      <w:rFonts w:ascii="Calibri" w:eastAsia="Calibri" w:hAnsi="Calibri" w:cs="Times New Roman"/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2E20A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SCHEERLINCK</dc:creator>
  <cp:keywords/>
  <dc:description/>
  <cp:lastModifiedBy>Frederik Scheerlinck (FOD Werkgelegenheid - SPF Emploi)</cp:lastModifiedBy>
  <cp:revision>2</cp:revision>
  <dcterms:created xsi:type="dcterms:W3CDTF">2020-02-28T16:03:00Z</dcterms:created>
  <dcterms:modified xsi:type="dcterms:W3CDTF">2020-02-28T16:03:00Z</dcterms:modified>
</cp:coreProperties>
</file>