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210"/>
      </w:tblGrid>
      <w:tr w:rsidR="003F7DEE" w:rsidRPr="00654362" w:rsidTr="00DF31C9">
        <w:tc>
          <w:tcPr>
            <w:tcW w:w="9210" w:type="dxa"/>
          </w:tcPr>
          <w:p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bookmarkStart w:id="0" w:name="_GoBack"/>
            <w:bookmarkEnd w:id="0"/>
          </w:p>
          <w:p w:rsidR="003F7DEE" w:rsidRPr="003F7DEE" w:rsidRDefault="003F7DEE" w:rsidP="003F7DEE">
            <w:pPr>
              <w:tabs>
                <w:tab w:val="left" w:pos="2552"/>
              </w:tabs>
              <w:overflowPunct w:val="0"/>
              <w:autoSpaceDE w:val="0"/>
              <w:autoSpaceDN w:val="0"/>
              <w:adjustRightInd w:val="0"/>
              <w:textAlignment w:val="baseline"/>
              <w:rPr>
                <w:rFonts w:ascii="Times New Roman" w:hAnsi="Times New Roman"/>
                <w:b/>
                <w:lang w:eastAsia="nl-NL"/>
              </w:rPr>
            </w:pPr>
            <w:r w:rsidRPr="003F7DEE">
              <w:rPr>
                <w:rFonts w:ascii="Times New Roman" w:hAnsi="Times New Roman"/>
                <w:b/>
                <w:lang w:eastAsia="nl-NL"/>
              </w:rPr>
              <w:t xml:space="preserve">Modèle de CCT instaurant des avantages non récurrents liés aux résultats </w:t>
            </w:r>
          </w:p>
          <w:p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tc>
      </w:tr>
    </w:tbl>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fr-BE" w:eastAsia="nl-NL"/>
        </w:rPr>
      </w:pPr>
    </w:p>
    <w:tbl>
      <w:tblPr>
        <w:tblStyle w:val="Tabelraster"/>
        <w:tblW w:w="0" w:type="auto"/>
        <w:tblLook w:val="04A0" w:firstRow="1" w:lastRow="0" w:firstColumn="1" w:lastColumn="0" w:noHBand="0" w:noVBand="1"/>
      </w:tblPr>
      <w:tblGrid>
        <w:gridCol w:w="9210"/>
      </w:tblGrid>
      <w:tr w:rsidR="003F7DEE" w:rsidRPr="00654362" w:rsidTr="00DF31C9">
        <w:tc>
          <w:tcPr>
            <w:tcW w:w="9210" w:type="dxa"/>
          </w:tcPr>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b/>
                <w:u w:val="single"/>
                <w:lang w:eastAsia="nl-NL"/>
              </w:rPr>
            </w:pP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b/>
                <w:u w:val="single"/>
                <w:lang w:eastAsia="nl-NL"/>
              </w:rPr>
              <w:t>À déposer</w:t>
            </w:r>
            <w:r w:rsidRPr="003F7DEE">
              <w:rPr>
                <w:rFonts w:ascii="Times New Roman" w:hAnsi="Times New Roman"/>
                <w:lang w:eastAsia="nl-NL"/>
              </w:rPr>
              <w:t xml:space="preserve"> au Greffe de la Direction générale Relations collectives de travail du Service public fédéral Emploi, Travail et Concertation sociale, SOIT rue Ernest Blerot 1, 1070 Bruxelles SOIT par un autre biais, éventuellement électronique, précisé par le SPF</w:t>
            </w:r>
            <w:r w:rsidRPr="003F7DEE">
              <w:rPr>
                <w:rFonts w:ascii="Times New Roman" w:hAnsi="Times New Roman"/>
                <w:vertAlign w:val="superscript"/>
                <w:lang w:eastAsia="nl-NL"/>
              </w:rPr>
              <w:footnoteReference w:id="1"/>
            </w:r>
            <w:r w:rsidRPr="003F7DEE">
              <w:rPr>
                <w:rFonts w:ascii="Times New Roman" w:hAnsi="Times New Roman"/>
                <w:lang w:eastAsia="nl-NL"/>
              </w:rPr>
              <w:t>.</w:t>
            </w: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Cette CCT doit être déposée au Greffe avant qu’un tiers de la période de référence dans laquelle les objectifs doivent être atteints, ne soit écoulé</w:t>
            </w:r>
            <w:r w:rsidRPr="003F7DEE">
              <w:rPr>
                <w:vertAlign w:val="superscript"/>
                <w:lang w:eastAsia="nl-NL"/>
              </w:rPr>
              <w:footnoteReference w:id="2"/>
            </w:r>
            <w:r w:rsidRPr="003F7DEE">
              <w:rPr>
                <w:rFonts w:ascii="Times New Roman" w:hAnsi="Times New Roman"/>
                <w:lang w:eastAsia="nl-NL"/>
              </w:rPr>
              <w:t>.</w:t>
            </w: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 xml:space="preserve">Attention ! L’enregistrement de la CCT par le Greffe signifie uniquement que la CCT satisfait aux conditions de forme prescrites par la loi du 5 décembre 1968 sur les conventions collectives de travail et les commissions paritaires. L’Administration ne se prononce pas sur la conformité de la CCT avec la réglementation en matière d’avantages non récurrents liés aux résultats. </w:t>
            </w:r>
          </w:p>
          <w:p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tc>
      </w:tr>
    </w:tbl>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bCs/>
          <w:color w:val="000000"/>
          <w:lang w:val="fr-BE" w:eastAsia="nl-NL"/>
        </w:rPr>
        <w:t xml:space="preserve">Entre </w:t>
      </w:r>
      <w:r w:rsidRPr="003F7DEE">
        <w:rPr>
          <w:rFonts w:ascii="Times New Roman" w:eastAsia="Times New Roman" w:hAnsi="Times New Roman" w:cs="Times New Roman"/>
          <w:color w:val="000000"/>
          <w:lang w:val="fr-BE" w:eastAsia="nl-NL"/>
        </w:rPr>
        <w:t xml:space="preserve">l’(les) employeur(s) : </w:t>
      </w:r>
    </w:p>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Nom de l’entreprise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Adresse</w:t>
      </w:r>
      <w:r w:rsidRPr="003F7DEE">
        <w:rPr>
          <w:rFonts w:ascii="Arial" w:eastAsia="Times New Roman" w:hAnsi="Arial" w:cs="Times New Roman"/>
          <w:color w:val="000000"/>
          <w:vertAlign w:val="superscript"/>
          <w:lang w:val="fr-BE" w:eastAsia="nl-NL"/>
        </w:rPr>
        <w:footnoteReference w:id="3"/>
      </w:r>
      <w:r w:rsidRPr="003F7DEE">
        <w:rPr>
          <w:rFonts w:ascii="Times New Roman" w:eastAsia="Times New Roman" w:hAnsi="Times New Roman" w:cs="Times New Roman"/>
          <w:color w:val="000000"/>
          <w:lang w:val="fr-BE" w:eastAsia="nl-NL"/>
        </w:rPr>
        <w:t xml:space="preserv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Représenté(s) par (nom, prénom et qualité)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BCE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d’unité d’établissement des entités où la convention s’applique </w:t>
      </w:r>
      <w:r w:rsidRPr="003F7DEE">
        <w:rPr>
          <w:rFonts w:ascii="Arial" w:eastAsia="Times New Roman" w:hAnsi="Arial" w:cs="Times New Roman"/>
          <w:color w:val="000000"/>
          <w:vertAlign w:val="superscript"/>
          <w:lang w:val="fr-BE" w:eastAsia="nl-NL"/>
        </w:rPr>
        <w:footnoteReference w:id="4"/>
      </w:r>
      <w:r w:rsidRPr="003F7DEE">
        <w:rPr>
          <w:rFonts w:ascii="Times New Roman" w:eastAsia="Times New Roman" w:hAnsi="Times New Roman" w:cs="Times New Roman"/>
          <w:color w:val="000000"/>
          <w:lang w:val="fr-BE" w:eastAsia="nl-NL"/>
        </w:rPr>
        <w:t xml:space="preserve">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de la (des) commission(s) paritaire(s) compétente(s) pour les travailleurs concernés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Et </w:t>
      </w:r>
    </w:p>
    <w:p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br w:type="page"/>
      </w:r>
    </w:p>
    <w:p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lastRenderedPageBreak/>
        <w:t xml:space="preserve">* </w:t>
      </w:r>
      <w:r w:rsidRPr="003F7DEE">
        <w:rPr>
          <w:rFonts w:ascii="Times New Roman" w:eastAsia="Times New Roman" w:hAnsi="Times New Roman" w:cs="Times New Roman"/>
          <w:color w:val="000000"/>
          <w:lang w:val="fr-BE" w:eastAsia="nl-NL"/>
        </w:rPr>
        <w:tab/>
        <w:t xml:space="preserve">Nom de l’(des) organisation(s) syndicale(s)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Adresse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Représentée(s) par (nom, prénom et qualité)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1. </w:t>
      </w:r>
      <w:r w:rsidRPr="003F7DEE">
        <w:rPr>
          <w:rFonts w:ascii="Times New Roman" w:eastAsia="Times New Roman" w:hAnsi="Times New Roman" w:cs="Times New Roman"/>
          <w:color w:val="000000"/>
          <w:lang w:val="fr-BE" w:eastAsia="nl-NL"/>
        </w:rPr>
        <w:tab/>
        <w:t xml:space="preserve">L’employeur déclare que l’entreprise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A ENTAME</w:t>
      </w:r>
      <w:r w:rsidR="006D70F8">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w:t>
      </w:r>
      <w:r w:rsidR="006D70F8">
        <w:rPr>
          <w:rFonts w:ascii="Times New Roman" w:eastAsia="Times New Roman" w:hAnsi="Times New Roman" w:cs="Times New Roman"/>
          <w:color w:val="000000"/>
          <w:lang w:val="fr-BE" w:eastAsia="nl-NL"/>
        </w:rPr>
        <w:t xml:space="preserv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N’A PAS</w:t>
      </w:r>
      <w:r w:rsidRPr="003F7DEE">
        <w:rPr>
          <w:rFonts w:ascii="Times New Roman" w:eastAsia="Times New Roman" w:hAnsi="Times New Roman" w:cs="Times New Roman"/>
          <w:i/>
          <w:color w:val="000000"/>
          <w:lang w:val="fr-BE" w:eastAsia="nl-NL"/>
        </w:rPr>
        <w:t xml:space="preserve"> </w:t>
      </w:r>
      <w:r w:rsidRPr="003F7DEE">
        <w:rPr>
          <w:rFonts w:ascii="Times New Roman" w:eastAsia="Times New Roman" w:hAnsi="Times New Roman" w:cs="Times New Roman"/>
          <w:lang w:val="fr-BE" w:eastAsia="nl-NL"/>
        </w:rPr>
        <w:t>ENTAME une procédure d’information et de consultation en matière de licenciements collectifs avec fermeture d’entreprise telle que prévue par la convention collective de travail n° 24 du 2 octobre 1975 concernant la procédure d’information et de consultation des représentants des travailleurs en matière de licenciements collectifs.</w:t>
      </w:r>
      <w:r w:rsidRPr="003F7DEE">
        <w:rPr>
          <w:rFonts w:ascii="Arial" w:eastAsia="Times New Roman" w:hAnsi="Arial" w:cs="Times New Roman"/>
          <w:vertAlign w:val="superscript"/>
          <w:lang w:val="fr-BE" w:eastAsia="nl-NL"/>
        </w:rPr>
        <w:footnoteReference w:id="5"/>
      </w: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fr-BE" w:eastAsia="nl-NL"/>
        </w:rPr>
      </w:pPr>
      <w:r w:rsidRPr="003F7DEE">
        <w:rPr>
          <w:rFonts w:ascii="Times New Roman" w:eastAsia="Times New Roman" w:hAnsi="Times New Roman" w:cs="Times New Roman"/>
          <w:i/>
          <w:lang w:val="fr-BE" w:eastAsia="nl-NL"/>
        </w:rPr>
        <w:tab/>
        <w:t>Si l’entreprise a entamé une telle procédure, il n’est pas satisfait aux conditions pour le dépôt de la CCT.</w:t>
      </w: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2. </w:t>
      </w:r>
      <w:r w:rsidRPr="003F7DEE">
        <w:rPr>
          <w:rFonts w:ascii="Times New Roman" w:eastAsia="Times New Roman" w:hAnsi="Times New Roman" w:cs="Times New Roman"/>
          <w:color w:val="000000"/>
          <w:lang w:val="fr-BE" w:eastAsia="nl-NL"/>
        </w:rPr>
        <w:tab/>
        <w:t>L’employeur déclare que le présent système :</w:t>
      </w:r>
    </w:p>
    <w:p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rsidR="003F7DEE" w:rsidRPr="003F7DEE"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REMPLACE</w:t>
      </w:r>
      <w:r>
        <w:rPr>
          <w:rFonts w:ascii="Times New Roman" w:eastAsia="Times New Roman" w:hAnsi="Times New Roman" w:cs="Times New Roman"/>
          <w:color w:val="000000"/>
          <w:lang w:val="fr-BE" w:eastAsia="nl-NL"/>
        </w:rPr>
        <w:t xml:space="preserve"> </w:t>
      </w:r>
      <w:r w:rsidR="003F7DEE" w:rsidRPr="003F7DEE">
        <w:rPr>
          <w:rFonts w:ascii="Times New Roman" w:eastAsia="Times New Roman" w:hAnsi="Times New Roman" w:cs="Times New Roman"/>
          <w:color w:val="000000"/>
          <w:lang w:val="fr-BE" w:eastAsia="nl-NL"/>
        </w:rPr>
        <w:t xml:space="preserve"> / </w:t>
      </w:r>
      <w:r>
        <w:rPr>
          <w:rFonts w:ascii="Times New Roman" w:eastAsia="Times New Roman" w:hAnsi="Times New Roman" w:cs="Times New Roman"/>
          <w:color w:val="000000"/>
          <w:lang w:val="fr-BE" w:eastAsia="nl-NL"/>
        </w:rPr>
        <w:t xml:space="preserve">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 système existant d’avantages non récurrents liés aux résultats</w:t>
      </w:r>
      <w:r w:rsidR="003F7DEE" w:rsidRPr="003F7DEE">
        <w:rPr>
          <w:rFonts w:ascii="Arial" w:eastAsia="Times New Roman" w:hAnsi="Arial" w:cs="Times New Roman"/>
          <w:color w:val="000000"/>
          <w:vertAlign w:val="superscript"/>
          <w:lang w:val="fr-BE" w:eastAsia="nl-NL"/>
        </w:rPr>
        <w:footnoteReference w:id="6"/>
      </w: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6"/>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ou </w:t>
      </w:r>
    </w:p>
    <w:p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6"/>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fr-BE" w:eastAsia="nl-NL"/>
        </w:rPr>
      </w:pPr>
    </w:p>
    <w:p w:rsidR="003F7DEE" w:rsidRPr="003F7DEE"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 xml:space="preserve">REMPLACE /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une CCT antérieure, enregistrée,  prévoyant des avantages non récurrents liés aux résultats</w:t>
      </w: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conversion d’un système existant, ce dernier doit être annexé à la CCT.</w:t>
      </w:r>
    </w:p>
    <w:p w:rsidR="003F7DEE" w:rsidRPr="003F7DEE" w:rsidRDefault="003F7DEE" w:rsidP="003F7DEE">
      <w:pPr>
        <w:rPr>
          <w:rFonts w:ascii="Times New Roman" w:eastAsia="Times New Roman" w:hAnsi="Times New Roman" w:cs="Times New Roman"/>
          <w:i/>
          <w:iCs/>
          <w:color w:val="000000"/>
          <w:sz w:val="2"/>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4"/>
          <w:lang w:val="fr-BE" w:eastAsia="nl-NL"/>
        </w:rPr>
      </w:pPr>
    </w:p>
    <w:p w:rsid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CCT antérieure, enregistrée, la date de signature de celle-ci et son numéro d’enregistrement doivent être mentionnés.</w:t>
      </w:r>
    </w:p>
    <w:p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val="fr-BE" w:eastAsia="nl-NL"/>
        </w:rPr>
      </w:pPr>
      <w:r w:rsidRPr="003661E3">
        <w:rPr>
          <w:rFonts w:ascii="Times New Roman" w:eastAsia="Times New Roman" w:hAnsi="Times New Roman" w:cs="Times New Roman"/>
          <w:iCs/>
          <w:color w:val="000000"/>
          <w:lang w:eastAsia="nl-NL"/>
        </w:rPr>
        <w:fldChar w:fldCharType="begin">
          <w:ffData>
            <w:name w:val="Text1"/>
            <w:enabled/>
            <w:calcOnExit w:val="0"/>
            <w:textInput/>
          </w:ffData>
        </w:fldChar>
      </w:r>
      <w:r w:rsidRPr="003661E3">
        <w:rPr>
          <w:rFonts w:ascii="Times New Roman" w:eastAsia="Times New Roman" w:hAnsi="Times New Roman" w:cs="Times New Roman"/>
          <w:iCs/>
          <w:color w:val="000000"/>
          <w:lang w:val="fr-BE" w:eastAsia="nl-NL"/>
        </w:rPr>
        <w:instrText xml:space="preserve"> FORMTEXT </w:instrText>
      </w:r>
      <w:r w:rsidRPr="003661E3">
        <w:rPr>
          <w:rFonts w:ascii="Times New Roman" w:eastAsia="Times New Roman" w:hAnsi="Times New Roman" w:cs="Times New Roman"/>
          <w:iCs/>
          <w:color w:val="000000"/>
          <w:lang w:eastAsia="nl-NL"/>
        </w:rPr>
      </w:r>
      <w:r w:rsidRPr="003661E3">
        <w:rPr>
          <w:rFonts w:ascii="Times New Roman" w:eastAsia="Times New Roman" w:hAnsi="Times New Roman" w:cs="Times New Roman"/>
          <w:iCs/>
          <w:color w:val="000000"/>
          <w:lang w:eastAsia="nl-NL"/>
        </w:rPr>
        <w:fldChar w:fldCharType="separate"/>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val="fr-BE" w:eastAsia="nl-NL"/>
        </w:rPr>
        <w:fldChar w:fldCharType="end"/>
      </w: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3. </w:t>
      </w:r>
      <w:r w:rsidRPr="003F7DEE">
        <w:rPr>
          <w:rFonts w:ascii="Times New Roman" w:eastAsia="Times New Roman" w:hAnsi="Times New Roman" w:cs="Times New Roman"/>
          <w:color w:val="000000"/>
          <w:lang w:val="fr-BE" w:eastAsia="nl-NL"/>
        </w:rPr>
        <w:tab/>
        <w:t>L’employeur déclare qu’</w:t>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IL EXISTE UN / </w:t>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IL N’EXISTE PAS de plan de prévention dans l’entreprise</w:t>
      </w:r>
      <w:r w:rsidRPr="003F7DEE">
        <w:rPr>
          <w:rFonts w:ascii="Arial" w:eastAsia="Times New Roman" w:hAnsi="Arial" w:cs="Times New Roman"/>
          <w:color w:val="000000"/>
          <w:vertAlign w:val="superscript"/>
          <w:lang w:val="fr-BE" w:eastAsia="nl-NL"/>
        </w:rPr>
        <w:footnoteReference w:id="7"/>
      </w:r>
      <w:r w:rsidRPr="003F7DEE">
        <w:rPr>
          <w:rFonts w:ascii="Times New Roman" w:eastAsia="Times New Roman" w:hAnsi="Times New Roman" w:cs="Times New Roman"/>
          <w:color w:val="000000"/>
          <w:lang w:val="fr-BE" w:eastAsia="nl-NL"/>
        </w:rPr>
        <w:t xml:space="preserve">. </w:t>
      </w: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Il est convenu ce qui suit : </w:t>
      </w: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1er : La présente convention s’applique à</w:t>
      </w:r>
      <w:r w:rsidRPr="003F7DEE">
        <w:rPr>
          <w:rFonts w:ascii="Arial" w:eastAsia="Times New Roman" w:hAnsi="Arial" w:cs="Times New Roman"/>
          <w:color w:val="000000"/>
          <w:vertAlign w:val="superscript"/>
          <w:lang w:val="fr-BE" w:eastAsia="nl-NL"/>
        </w:rPr>
        <w:footnoteReference w:id="8"/>
      </w:r>
      <w:r w:rsidRPr="003F7DEE">
        <w:rPr>
          <w:rFonts w:ascii="Times New Roman" w:eastAsia="Times New Roman" w:hAnsi="Times New Roman" w:cs="Times New Roman"/>
          <w:color w:val="000000"/>
          <w:lang w:val="fr-BE" w:eastAsia="nl-NL"/>
        </w:rPr>
        <w:t xml:space="preserv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2 : Nombre de travailleurs concernés </w:t>
      </w:r>
      <w:r w:rsidRPr="003F7DEE">
        <w:rPr>
          <w:rFonts w:ascii="Arial" w:eastAsia="Times New Roman" w:hAnsi="Arial" w:cs="Times New Roman"/>
          <w:color w:val="000000"/>
          <w:vertAlign w:val="superscript"/>
          <w:lang w:val="fr-BE" w:eastAsia="nl-NL"/>
        </w:rPr>
        <w:footnoteReference w:id="9"/>
      </w:r>
      <w:r w:rsidRPr="003F7DEE">
        <w:rPr>
          <w:rFonts w:ascii="Times New Roman" w:eastAsia="Times New Roman" w:hAnsi="Times New Roman" w:cs="Times New Roman"/>
          <w:color w:val="000000"/>
          <w:lang w:val="fr-BE" w:eastAsia="nl-NL"/>
        </w:rPr>
        <w:t xml:space="preserve">au moment de l’établissement de la CCT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3 : Objectif(s) : </w:t>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4 : Période(s) de référence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5 : Méthode de suivi et de contrôle pour la vérification de la réalisation des objectifs fixés.</w:t>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Méthode de suivi :</w:t>
      </w:r>
      <w:r>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sz w:val="1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Méthode de contrôle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fr-BE" w:eastAsia="nl-NL"/>
        </w:rPr>
      </w:pPr>
    </w:p>
    <w:p w:rsid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6 : Procédure opérationnelle propre applicable en cas de contestation relative à l’évaluation des résultats</w:t>
      </w:r>
      <w:r w:rsidRPr="003F7DEE">
        <w:rPr>
          <w:rFonts w:ascii="Arial" w:eastAsia="Times New Roman" w:hAnsi="Arial" w:cs="Times New Roman"/>
          <w:color w:val="000000"/>
          <w:vertAlign w:val="superscript"/>
          <w:lang w:val="fr-BE" w:eastAsia="nl-NL"/>
        </w:rPr>
        <w:footnoteReference w:id="10"/>
      </w:r>
      <w:r w:rsidRPr="003F7DEE">
        <w:rPr>
          <w:rFonts w:ascii="Times New Roman" w:eastAsia="Times New Roman" w:hAnsi="Times New Roman" w:cs="Times New Roman"/>
          <w:color w:val="000000"/>
          <w:lang w:val="fr-BE" w:eastAsia="nl-NL"/>
        </w:rPr>
        <w:t xml:space="preserve"> : </w:t>
      </w:r>
    </w:p>
    <w:p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6D70F8" w:rsidRPr="003F7DEE" w:rsidRDefault="006D70F8"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7 : Avantages susceptibles d’être octroyés : </w:t>
      </w:r>
    </w:p>
    <w:p w:rsidR="003F7DEE" w:rsidRDefault="003F7DEE" w:rsidP="003F7DEE">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8 : Modalités de calcul de ces avantages : </w:t>
      </w:r>
    </w:p>
    <w:p w:rsidR="003F7DEE" w:rsidRDefault="003F7DEE" w:rsidP="003F7DEE">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9 : Moment et modalités du paiement de ces avantages</w:t>
      </w:r>
    </w:p>
    <w:p w:rsidR="003F7DEE" w:rsidRPr="003F7DEE" w:rsidRDefault="003F7DEE" w:rsidP="003F7DEE">
      <w:pPr>
        <w:spacing w:after="0" w:line="240" w:lineRule="auto"/>
        <w:rPr>
          <w:rFonts w:ascii="Times New Roman" w:eastAsia="Times New Roman" w:hAnsi="Times New Roman" w:cs="Times New Roman"/>
          <w:color w:val="000000"/>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Moment du paiement :</w:t>
      </w:r>
      <w:r w:rsidRPr="003F7DEE">
        <w:rPr>
          <w:sz w:val="20"/>
          <w:lang w:val="fr-BE"/>
        </w:rPr>
        <w:t xml:space="preserve">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Modalités du paiement :</w:t>
      </w:r>
      <w:r>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sz w:val="16"/>
          <w:lang w:val="fr-BE" w:eastAsia="nl-NL"/>
        </w:rPr>
      </w:pPr>
    </w:p>
    <w:p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10 : Durée de la convention</w:t>
      </w:r>
    </w:p>
    <w:p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La présente convention</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entre en vigueur le</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2"/>
          <w:lang w:val="fr-BE" w:eastAsia="nl-NL"/>
        </w:rPr>
      </w:pPr>
    </w:p>
    <w:p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b/>
          <w:color w:val="000000"/>
          <w:lang w:val="fr-BE" w:eastAsia="nl-NL"/>
        </w:rPr>
        <w:tab/>
      </w:r>
      <w:r w:rsidRPr="003F7DEE">
        <w:rPr>
          <w:rFonts w:ascii="Times New Roman" w:eastAsia="Times New Roman" w:hAnsi="Times New Roman" w:cs="Times New Roman"/>
          <w:color w:val="000000"/>
          <w:lang w:val="fr-BE" w:eastAsia="nl-NL"/>
        </w:rPr>
        <w:t>Et</w:t>
      </w:r>
      <w:r w:rsidRPr="003F7DEE">
        <w:rPr>
          <w:rFonts w:ascii="Arial" w:eastAsia="Times New Roman" w:hAnsi="Arial" w:cs="Times New Roman"/>
          <w:color w:val="000000"/>
          <w:vertAlign w:val="superscript"/>
          <w:lang w:val="fr-BE" w:eastAsia="nl-NL"/>
        </w:rPr>
        <w:footnoteReference w:id="11"/>
      </w:r>
      <w:r w:rsidRPr="003F7DEE">
        <w:rPr>
          <w:rFonts w:ascii="Times New Roman" w:eastAsia="Times New Roman" w:hAnsi="Times New Roman" w:cs="Times New Roman"/>
          <w:color w:val="000000"/>
          <w:lang w:val="fr-BE" w:eastAsia="nl-NL"/>
        </w:rPr>
        <w:t> :</w:t>
      </w:r>
    </w:p>
    <w:p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fr-BE" w:eastAsia="nl-NL"/>
        </w:rPr>
      </w:pPr>
    </w:p>
    <w:p w:rsidR="003F7DEE" w:rsidRPr="003F7DEE" w:rsidRDefault="003F7DEE" w:rsidP="003F7DEE">
      <w:pPr>
        <w:tabs>
          <w:tab w:val="left" w:pos="284"/>
          <w:tab w:val="left" w:pos="426"/>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t>prend fin le (pour les conventions à durée déterminée) :</w:t>
      </w:r>
      <w:r w:rsidRPr="003F7DEE">
        <w:rPr>
          <w:rFonts w:ascii="Times New Roman" w:eastAsia="Times New Roman" w:hAnsi="Times New Roman" w:cs="Times New Roman"/>
          <w:b/>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fr-BE" w:eastAsia="nl-NL"/>
        </w:rPr>
      </w:pPr>
    </w:p>
    <w:p w:rsidR="003F7DEE" w:rsidRPr="003F7DEE" w:rsidRDefault="003F7DEE" w:rsidP="003F7DEE">
      <w:pPr>
        <w:tabs>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t xml:space="preserve">Ou </w:t>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fr-BE" w:eastAsia="nl-NL"/>
        </w:rPr>
      </w:pPr>
    </w:p>
    <w:p w:rsidR="003F7DEE" w:rsidRPr="003F7DEE" w:rsidRDefault="003F7DEE" w:rsidP="003F7DEE">
      <w:pPr>
        <w:tabs>
          <w:tab w:val="left" w:pos="284"/>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0A0130">
        <w:rPr>
          <w:rFonts w:ascii="Times New Roman" w:hAnsi="Times New Roman"/>
          <w:sz w:val="24"/>
          <w:szCs w:val="24"/>
        </w:rPr>
      </w:r>
      <w:r w:rsidR="000A0130">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est conclue à durée indéterminée </w:t>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p>
    <w:p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11</w:t>
      </w:r>
      <w:r w:rsidRPr="003F7DEE">
        <w:rPr>
          <w:rFonts w:ascii="Arial" w:eastAsia="Times New Roman" w:hAnsi="Arial" w:cs="Times New Roman"/>
          <w:color w:val="000000"/>
          <w:vertAlign w:val="superscript"/>
          <w:lang w:val="fr-BE" w:eastAsia="nl-NL"/>
        </w:rPr>
        <w:footnoteReference w:id="12"/>
      </w:r>
      <w:r w:rsidRPr="003F7DEE">
        <w:rPr>
          <w:rFonts w:ascii="Times New Roman" w:eastAsia="Times New Roman" w:hAnsi="Times New Roman" w:cs="Times New Roman"/>
          <w:color w:val="000000"/>
          <w:lang w:val="fr-BE" w:eastAsia="nl-NL"/>
        </w:rPr>
        <w:t xml:space="preserve"> : Clause de dénonciation, UNIQUEMENT </w:t>
      </w:r>
      <w:r w:rsidRPr="003F7DEE">
        <w:rPr>
          <w:rFonts w:ascii="Times New Roman" w:eastAsia="Times New Roman" w:hAnsi="Times New Roman" w:cs="Times New Roman"/>
          <w:iCs/>
          <w:color w:val="000000"/>
          <w:lang w:val="fr-BE" w:eastAsia="nl-NL"/>
        </w:rPr>
        <w:t>quand la convention est valable pour une durée indéterminée ou pour une durée déterminée avec clause de reconduction :</w:t>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iCs/>
          <w:color w:val="000000"/>
          <w:lang w:val="fr-BE" w:eastAsia="nl-NL"/>
        </w:rPr>
      </w:pPr>
    </w:p>
    <w:p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la modalité de dénonciation :</w:t>
      </w:r>
      <w:r>
        <w:rPr>
          <w:rFonts w:ascii="Times New Roman" w:eastAsia="Times New Roman" w:hAnsi="Times New Roman" w:cs="Times New Roman"/>
          <w:iCs/>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xml:space="preserve">*  les délais de dénonciation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Fait à</w:t>
      </w:r>
      <w:r>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3F7DEE">
        <w:rPr>
          <w:rFonts w:ascii="Times New Roman" w:eastAsia="Times New Roman" w:hAnsi="Times New Roman" w:cs="Times New Roman"/>
          <w:color w:val="000000"/>
          <w:lang w:val="fr-BE" w:eastAsia="nl-NL"/>
        </w:rPr>
        <w:t xml:space="preserve">, le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rsidR="003F7DEE" w:rsidRPr="003F7DEE" w:rsidRDefault="003F7DEE" w:rsidP="003F7DEE">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Pour l’(les) employeur(s) : </w:t>
      </w:r>
      <w:r w:rsidRPr="003F7DEE">
        <w:rPr>
          <w:rFonts w:ascii="Times New Roman" w:eastAsia="Times New Roman" w:hAnsi="Times New Roman" w:cs="Times New Roman"/>
          <w:color w:val="000000"/>
          <w:lang w:val="fr-BE" w:eastAsia="nl-NL"/>
        </w:rPr>
        <w:tab/>
      </w:r>
      <w:r w:rsidRPr="003F7DEE">
        <w:rPr>
          <w:rFonts w:ascii="Times New Roman" w:eastAsia="Times New Roman" w:hAnsi="Times New Roman" w:cs="Times New Roman"/>
          <w:color w:val="000000"/>
          <w:lang w:val="fr-BE" w:eastAsia="nl-NL"/>
        </w:rPr>
        <w:tab/>
        <w:t xml:space="preserve">Pour l’(les) organisation(s) syndicale(s) : </w:t>
      </w:r>
    </w:p>
    <w:p w:rsidR="009C00A4" w:rsidRPr="006D70F8" w:rsidRDefault="006D70F8" w:rsidP="006D70F8">
      <w:pPr>
        <w:tabs>
          <w:tab w:val="left" w:pos="2552"/>
          <w:tab w:val="left" w:pos="4536"/>
        </w:tabs>
        <w:overflowPunct w:val="0"/>
        <w:autoSpaceDE w:val="0"/>
        <w:autoSpaceDN w:val="0"/>
        <w:adjustRightInd w:val="0"/>
        <w:spacing w:after="0" w:line="360" w:lineRule="auto"/>
        <w:jc w:val="both"/>
        <w:textAlignment w:val="baseline"/>
        <w:rPr>
          <w:sz w:val="2"/>
          <w:lang w:val="en-US"/>
        </w:rPr>
      </w:pPr>
      <w:r>
        <w:rPr>
          <w:sz w:val="20"/>
        </w:rPr>
        <w:fldChar w:fldCharType="begin">
          <w:ffData>
            <w:name w:val="Text1"/>
            <w:enabled/>
            <w:calcOnExit w:val="0"/>
            <w:textInput/>
          </w:ffData>
        </w:fldChar>
      </w:r>
      <w:r w:rsidRPr="006D70F8">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D70F8">
        <w:rPr>
          <w:sz w:val="20"/>
          <w:lang w:val="en-US"/>
        </w:rPr>
        <w:t xml:space="preserve">      </w:t>
      </w:r>
      <w:r w:rsidR="003F7DEE" w:rsidRPr="006D70F8">
        <w:rPr>
          <w:sz w:val="20"/>
          <w:lang w:val="en-US"/>
        </w:rPr>
        <w:t xml:space="preserve">                               </w:t>
      </w:r>
      <w:r>
        <w:rPr>
          <w:sz w:val="20"/>
          <w:lang w:val="en-US"/>
        </w:rPr>
        <w:t xml:space="preserve">                                         </w:t>
      </w:r>
      <w:r w:rsidR="003661E3">
        <w:rPr>
          <w:sz w:val="20"/>
          <w:lang w:val="en-US"/>
        </w:rPr>
        <w:t xml:space="preserve">          </w:t>
      </w:r>
      <w:r>
        <w:rPr>
          <w:sz w:val="20"/>
          <w:lang w:val="en-US"/>
        </w:rPr>
        <w:t xml:space="preserve">  </w:t>
      </w:r>
      <w:r>
        <w:rPr>
          <w:sz w:val="20"/>
        </w:rPr>
        <w:fldChar w:fldCharType="begin">
          <w:ffData>
            <w:name w:val="Text1"/>
            <w:enabled/>
            <w:calcOnExit w:val="0"/>
            <w:textInput/>
          </w:ffData>
        </w:fldChar>
      </w:r>
      <w:r w:rsidRPr="006D70F8">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lang w:val="en-US"/>
        </w:rPr>
        <w:t xml:space="preserve">  </w:t>
      </w:r>
    </w:p>
    <w:sectPr w:rsidR="009C00A4" w:rsidRPr="006D70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30" w:rsidRDefault="000A0130" w:rsidP="003F7DEE">
      <w:pPr>
        <w:spacing w:after="0" w:line="240" w:lineRule="auto"/>
      </w:pPr>
      <w:r>
        <w:separator/>
      </w:r>
    </w:p>
  </w:endnote>
  <w:endnote w:type="continuationSeparator" w:id="0">
    <w:p w:rsidR="000A0130" w:rsidRDefault="000A0130" w:rsidP="003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19751"/>
      <w:docPartObj>
        <w:docPartGallery w:val="Page Numbers (Bottom of Page)"/>
        <w:docPartUnique/>
      </w:docPartObj>
    </w:sdtPr>
    <w:sdtEndPr/>
    <w:sdtContent>
      <w:p w:rsidR="003661E3" w:rsidRDefault="003661E3">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30" w:rsidRDefault="000A0130" w:rsidP="003F7DEE">
      <w:pPr>
        <w:spacing w:after="0" w:line="240" w:lineRule="auto"/>
      </w:pPr>
      <w:r>
        <w:separator/>
      </w:r>
    </w:p>
  </w:footnote>
  <w:footnote w:type="continuationSeparator" w:id="0">
    <w:p w:rsidR="000A0130" w:rsidRDefault="000A0130" w:rsidP="003F7DEE">
      <w:pPr>
        <w:spacing w:after="0" w:line="240" w:lineRule="auto"/>
      </w:pPr>
      <w:r>
        <w:continuationSeparator/>
      </w:r>
    </w:p>
  </w:footnote>
  <w:footnote w:id="1">
    <w:p w:rsidR="003F7DEE" w:rsidRPr="00067349" w:rsidRDefault="003F7DEE" w:rsidP="003F7DEE">
      <w:pPr>
        <w:pStyle w:val="Voetnoottekst"/>
        <w:tabs>
          <w:tab w:val="left" w:pos="284"/>
        </w:tabs>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Pr>
          <w:rFonts w:ascii="Times New Roman" w:hAnsi="Times New Roman" w:cs="Times New Roman"/>
          <w:lang w:val="fr-BE"/>
        </w:rPr>
        <w:tab/>
        <w:t xml:space="preserve">Voir le site internet du SPF : </w:t>
      </w:r>
      <w:hyperlink r:id="rId1" w:history="1">
        <w:r w:rsidRPr="00095D8A">
          <w:rPr>
            <w:rStyle w:val="Hyperlink"/>
            <w:rFonts w:ascii="Times New Roman" w:hAnsi="Times New Roman" w:cs="Times New Roman"/>
            <w:lang w:val="fr-BE"/>
          </w:rPr>
          <w:t>http://www.emploi.belgique.be</w:t>
        </w:r>
      </w:hyperlink>
    </w:p>
  </w:footnote>
  <w:footnote w:id="2">
    <w:p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Article 8, 3° de la CCT n° 90.</w:t>
      </w:r>
    </w:p>
  </w:footnote>
  <w:footnote w:id="3">
    <w:p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Les courriers seront envoyés à l’adresse reprise dans la BCE.</w:t>
      </w:r>
    </w:p>
  </w:footnote>
  <w:footnote w:id="4">
    <w:p w:rsidR="003F7DEE" w:rsidRPr="00067349" w:rsidRDefault="003F7DEE" w:rsidP="003F7DEE">
      <w:pPr>
        <w:pStyle w:val="Voetnoottekst"/>
        <w:tabs>
          <w:tab w:val="left" w:pos="284"/>
        </w:tabs>
        <w:ind w:left="284" w:hanging="284"/>
        <w:jc w:val="both"/>
        <w:rPr>
          <w:rFonts w:ascii="Times New Roman" w:hAnsi="Times New Roman" w:cs="Times New Roman"/>
          <w:bCs/>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r>
      <w:r w:rsidRPr="00067349">
        <w:rPr>
          <w:rFonts w:ascii="Times New Roman" w:hAnsi="Times New Roman" w:cs="Times New Roman"/>
          <w:bCs/>
          <w:lang w:val="fr-BE"/>
        </w:rPr>
        <w:t xml:space="preserve">Conformément à </w:t>
      </w:r>
      <w:r>
        <w:rPr>
          <w:rFonts w:ascii="Times New Roman" w:hAnsi="Times New Roman" w:cs="Times New Roman"/>
          <w:bCs/>
          <w:lang w:val="fr-BE"/>
        </w:rPr>
        <w:t>l’</w:t>
      </w:r>
      <w:r w:rsidRPr="00067349">
        <w:rPr>
          <w:rFonts w:ascii="Times New Roman" w:hAnsi="Times New Roman" w:cs="Times New Roman"/>
          <w:bCs/>
          <w:lang w:val="fr-BE"/>
        </w:rPr>
        <w:t>article 16, 9° de la loi du 5 décembre 1968 sur les conventions collectives de travail et les commissions paritaires, qui prévoit que : « La convention mentionne obligatoirement :</w:t>
      </w:r>
    </w:p>
    <w:p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9°</w:t>
      </w:r>
      <w:r w:rsidRPr="00067349">
        <w:rPr>
          <w:rFonts w:ascii="Times New Roman" w:hAnsi="Times New Roman" w:cs="Times New Roman"/>
          <w:bCs/>
          <w:lang w:val="fr-BE"/>
        </w:rPr>
        <w:tab/>
        <w:t>le numéro d'entreprise ou les numéros d'entreprises pour les conventions conclues pour une entreprise ou pour un groupe d'entreprises ;</w:t>
      </w:r>
    </w:p>
    <w:p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 xml:space="preserve"> </w:t>
      </w:r>
      <w:r w:rsidRPr="00067349">
        <w:rPr>
          <w:rFonts w:ascii="Times New Roman" w:hAnsi="Times New Roman" w:cs="Times New Roman"/>
          <w:bCs/>
          <w:lang w:val="fr-BE"/>
        </w:rPr>
        <w:tab/>
        <w:t>les numéros d'unité d'établissement des entités où la convention s'applique, dans les cas où l'entreprise ou les entreprises sont constituée de plusieurs entités autonomes.</w:t>
      </w:r>
      <w:r>
        <w:rPr>
          <w:rFonts w:ascii="Times New Roman" w:hAnsi="Times New Roman" w:cs="Times New Roman"/>
          <w:bCs/>
          <w:lang w:val="fr-BE"/>
        </w:rPr>
        <w:t xml:space="preserve"> »</w:t>
      </w:r>
      <w:r w:rsidRPr="00067349">
        <w:rPr>
          <w:rFonts w:ascii="Times New Roman" w:hAnsi="Times New Roman" w:cs="Times New Roman"/>
          <w:bCs/>
          <w:lang w:val="fr-BE"/>
        </w:rPr>
        <w:t xml:space="preserve"> </w:t>
      </w:r>
    </w:p>
    <w:p w:rsidR="003F7DEE" w:rsidRPr="00C77A77" w:rsidRDefault="003F7DEE" w:rsidP="003F7DEE">
      <w:pPr>
        <w:pStyle w:val="Voetnoottekst"/>
        <w:tabs>
          <w:tab w:val="left" w:pos="284"/>
        </w:tabs>
        <w:ind w:left="284" w:hanging="284"/>
        <w:jc w:val="both"/>
        <w:rPr>
          <w:rFonts w:ascii="Times New Roman" w:hAnsi="Times New Roman" w:cs="Times New Roman"/>
          <w:b/>
          <w:bCs/>
          <w:lang w:val="fr-BE"/>
        </w:rPr>
      </w:pPr>
      <w:r w:rsidRPr="00067349">
        <w:rPr>
          <w:rFonts w:ascii="Times New Roman" w:hAnsi="Times New Roman" w:cs="Times New Roman"/>
          <w:bCs/>
          <w:lang w:val="fr-BE"/>
        </w:rPr>
        <w:tab/>
        <w:t>Il en résulte que si la CCT est applicable à l’ensemble des établissements présents et futurs, la mention du numéro BCE est suffisante. Si la CCT s’applique à seulement certains établissements, leur numéro d’unité d’établissement doit également être mentionné.</w:t>
      </w:r>
    </w:p>
    <w:p w:rsidR="003F7DEE" w:rsidRDefault="003F7DEE" w:rsidP="003F7DEE">
      <w:pPr>
        <w:pStyle w:val="Voetnoottekst"/>
        <w:tabs>
          <w:tab w:val="left" w:pos="284"/>
        </w:tabs>
        <w:ind w:left="284" w:hanging="284"/>
        <w:jc w:val="both"/>
        <w:rPr>
          <w:rFonts w:ascii="Times New Roman" w:hAnsi="Times New Roman" w:cs="Times New Roman"/>
          <w:bCs/>
          <w:lang w:val="fr-BE"/>
        </w:rPr>
      </w:pPr>
      <w:r w:rsidRPr="007729E5">
        <w:rPr>
          <w:rFonts w:ascii="Times New Roman" w:hAnsi="Times New Roman" w:cs="Times New Roman"/>
          <w:bCs/>
          <w:lang w:val="fr-BE"/>
        </w:rPr>
        <w:t xml:space="preserve"> </w:t>
      </w:r>
    </w:p>
    <w:p w:rsidR="003F7DEE" w:rsidRPr="007729E5" w:rsidRDefault="003F7DEE" w:rsidP="003F7DEE">
      <w:pPr>
        <w:pStyle w:val="Voetnoottekst"/>
        <w:tabs>
          <w:tab w:val="left" w:pos="284"/>
        </w:tabs>
        <w:ind w:left="284" w:hanging="284"/>
        <w:jc w:val="both"/>
        <w:rPr>
          <w:rFonts w:ascii="Times New Roman" w:hAnsi="Times New Roman" w:cs="Times New Roman"/>
          <w:b/>
          <w:bCs/>
          <w:lang w:val="fr-BE"/>
        </w:rPr>
      </w:pPr>
    </w:p>
  </w:footnote>
  <w:footnote w:id="5">
    <w:p w:rsidR="003F7DEE" w:rsidRPr="00F515BB" w:rsidRDefault="003F7DEE" w:rsidP="003F7DEE">
      <w:pPr>
        <w:pStyle w:val="Voetnoottekst"/>
        <w:tabs>
          <w:tab w:val="left" w:pos="284"/>
        </w:tabs>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Loi-programme du 25 décembre 2017, article 79.</w:t>
      </w:r>
    </w:p>
  </w:footnote>
  <w:footnote w:id="6">
    <w:p w:rsidR="003F7DEE" w:rsidRDefault="003F7DEE" w:rsidP="003F7DEE">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 xml:space="preserve">Comme prévu à l’article 6, § 2 de la loi  du 21 décembre 2007 relative à l’exécution de l’accord interprofessionnel 2007-2008. </w:t>
      </w:r>
    </w:p>
    <w:p w:rsidR="003F7DEE" w:rsidRPr="007729E5" w:rsidRDefault="003F7DEE" w:rsidP="003F7DEE">
      <w:pPr>
        <w:pStyle w:val="Voetnoottekst"/>
        <w:tabs>
          <w:tab w:val="left" w:pos="284"/>
        </w:tabs>
        <w:ind w:left="284" w:hanging="284"/>
        <w:jc w:val="both"/>
        <w:rPr>
          <w:rFonts w:ascii="Times New Roman" w:hAnsi="Times New Roman" w:cs="Times New Roman"/>
          <w:lang w:val="fr-BE"/>
        </w:rPr>
      </w:pPr>
    </w:p>
  </w:footnote>
  <w:footnote w:id="7">
    <w:p w:rsidR="003F7DEE" w:rsidRPr="007729E5" w:rsidRDefault="003F7DEE" w:rsidP="003F7DEE">
      <w:pPr>
        <w:pStyle w:val="Default"/>
        <w:tabs>
          <w:tab w:val="left" w:pos="284"/>
        </w:tabs>
        <w:ind w:left="284" w:hanging="284"/>
        <w:jc w:val="both"/>
        <w:rPr>
          <w:sz w:val="20"/>
          <w:szCs w:val="20"/>
        </w:rPr>
      </w:pPr>
      <w:r w:rsidRPr="007729E5">
        <w:rPr>
          <w:rStyle w:val="Voetnootmarkering"/>
          <w:sz w:val="20"/>
        </w:rPr>
        <w:footnoteRef/>
      </w:r>
      <w:r w:rsidRPr="007729E5">
        <w:rPr>
          <w:sz w:val="20"/>
          <w:szCs w:val="20"/>
        </w:rPr>
        <w:t xml:space="preserve"> </w:t>
      </w:r>
      <w:r w:rsidRPr="007729E5">
        <w:rPr>
          <w:sz w:val="20"/>
          <w:szCs w:val="20"/>
        </w:rPr>
        <w:tab/>
        <w:t xml:space="preserve">Rubrique à remplir uniquement en cas d'application de l'article 10 bis de la CCT n° 90. Celui-ci prévoit que : </w:t>
      </w:r>
    </w:p>
    <w:p w:rsidR="003F7DEE" w:rsidRPr="003F7DEE" w:rsidRDefault="003F7DEE" w:rsidP="003F7DEE">
      <w:pPr>
        <w:tabs>
          <w:tab w:val="left" w:pos="284"/>
        </w:tabs>
        <w:ind w:left="284" w:hanging="284"/>
        <w:jc w:val="both"/>
        <w:rPr>
          <w:rFonts w:ascii="Times New Roman" w:hAnsi="Times New Roman"/>
          <w:color w:val="000000"/>
          <w:sz w:val="20"/>
          <w:lang w:val="fr-BE"/>
        </w:rPr>
      </w:pPr>
      <w:r w:rsidRPr="003F7DEE">
        <w:rPr>
          <w:rFonts w:ascii="Times New Roman" w:hAnsi="Times New Roman"/>
          <w:color w:val="000000"/>
          <w:sz w:val="20"/>
          <w:lang w:val="fr-BE"/>
        </w:rPr>
        <w:tab/>
        <w:t xml:space="preserve">« § 1er. Les objectifs concernant la réduction des accidents du travail ou du nombre de jours perdus suite à un accident du travail ne peuvent être repris que si, pour la période de référence, l'employeur satisfait aux dispositions des articles 10 à 12 de l'arrêté royal du 27 mars 1998 relatif à la politique du bien-être des travailleurs lors de l'exécution de leur travail. </w:t>
      </w:r>
    </w:p>
    <w:p w:rsidR="003F7DEE" w:rsidRPr="007729E5" w:rsidRDefault="003F7DEE" w:rsidP="003F7DEE">
      <w:pPr>
        <w:pStyle w:val="Voetnoottekst"/>
        <w:tabs>
          <w:tab w:val="left" w:pos="284"/>
        </w:tabs>
        <w:ind w:left="284" w:hanging="284"/>
        <w:jc w:val="both"/>
        <w:rPr>
          <w:rFonts w:ascii="Times New Roman" w:hAnsi="Times New Roman" w:cs="Times New Roman"/>
          <w:lang w:val="fr-BE"/>
        </w:rPr>
      </w:pPr>
      <w:r w:rsidRPr="007729E5">
        <w:rPr>
          <w:rFonts w:ascii="Times New Roman" w:hAnsi="Times New Roman" w:cs="Times New Roman"/>
          <w:color w:val="000000"/>
          <w:lang w:val="fr-BE"/>
        </w:rPr>
        <w:tab/>
        <w:t>§ 2. Les objectifs concernant la réduction du nombre de jours d'absence ne peuvent être repris que si, pour la période de référence, l'employeur satisfait aux dispositions des articles 10 à 12 de l'arrêté royal du 27 mars 1998 relatif à la politique du bien-être des travailleurs lors de l'exécution de leur travail en incluant les objectifs et actions prévus dans la convention collective de travail n° 72 du Conseil national du Travail concernant la gestion de la prévention du stress occasionné par le travail (notamment l'approche spéc</w:t>
      </w:r>
      <w:r>
        <w:rPr>
          <w:rFonts w:ascii="Times New Roman" w:hAnsi="Times New Roman" w:cs="Times New Roman"/>
          <w:color w:val="000000"/>
          <w:lang w:val="fr-BE"/>
        </w:rPr>
        <w:t>ifique des risques de stress). »</w:t>
      </w:r>
      <w:r w:rsidRPr="007729E5">
        <w:rPr>
          <w:rFonts w:ascii="Times New Roman" w:hAnsi="Times New Roman" w:cs="Times New Roman"/>
          <w:color w:val="000000"/>
          <w:lang w:val="fr-BE"/>
        </w:rPr>
        <w:t xml:space="preserve">  </w:t>
      </w:r>
    </w:p>
  </w:footnote>
  <w:footnote w:id="8">
    <w:p w:rsidR="003F7DEE" w:rsidRPr="007729E5" w:rsidRDefault="003F7DEE" w:rsidP="003F7DEE">
      <w:pPr>
        <w:pStyle w:val="Default"/>
        <w:tabs>
          <w:tab w:val="left" w:pos="284"/>
        </w:tabs>
        <w:ind w:left="284" w:hanging="284"/>
        <w:jc w:val="both"/>
        <w:rPr>
          <w:sz w:val="20"/>
          <w:szCs w:val="20"/>
        </w:rPr>
      </w:pPr>
      <w:r w:rsidRPr="007729E5">
        <w:rPr>
          <w:rStyle w:val="Voetnootmarkering"/>
          <w:sz w:val="20"/>
        </w:rPr>
        <w:footnoteRef/>
      </w:r>
      <w:r w:rsidRPr="007729E5">
        <w:rPr>
          <w:sz w:val="20"/>
          <w:szCs w:val="20"/>
        </w:rPr>
        <w:t xml:space="preserve"> </w:t>
      </w:r>
      <w:r w:rsidRPr="007729E5">
        <w:rPr>
          <w:sz w:val="20"/>
          <w:szCs w:val="20"/>
        </w:rPr>
        <w:tab/>
        <w:t xml:space="preserve">L'article 10 de la loi du 24 juillet 1987 sur le travail temporaire, le travail intérimaire et la mise de travailleurs à la disposition d'utilisateurs est d'application. Celui-ci prévoit que : </w:t>
      </w:r>
    </w:p>
    <w:p w:rsidR="003F7DEE" w:rsidRPr="003F7DEE" w:rsidRDefault="003F7DEE" w:rsidP="003F7DEE">
      <w:pPr>
        <w:tabs>
          <w:tab w:val="left" w:pos="284"/>
        </w:tabs>
        <w:ind w:left="284" w:hanging="284"/>
        <w:rPr>
          <w:rFonts w:ascii="Times New Roman" w:hAnsi="Times New Roman"/>
          <w:color w:val="000000"/>
          <w:sz w:val="20"/>
          <w:lang w:val="fr-BE"/>
        </w:rPr>
      </w:pPr>
      <w:r w:rsidRPr="003F7DEE">
        <w:rPr>
          <w:rFonts w:ascii="Times New Roman" w:hAnsi="Times New Roman"/>
          <w:color w:val="000000"/>
          <w:sz w:val="20"/>
          <w:lang w:val="fr-BE"/>
        </w:rPr>
        <w:tab/>
        <w:t xml:space="preserve">« La rémunération de l'intérimaire ne peut être inférieure à celle à laquelle il aurait eu droit s'il était engagé dans les mêmes conditions comme travailleur permanent par l'utilisateur. </w:t>
      </w:r>
    </w:p>
    <w:p w:rsidR="003F7DEE" w:rsidRPr="007729E5" w:rsidRDefault="003F7DEE" w:rsidP="003F7DEE">
      <w:pPr>
        <w:pStyle w:val="Voetnoottekst"/>
        <w:tabs>
          <w:tab w:val="left" w:pos="284"/>
        </w:tabs>
        <w:ind w:left="284" w:hanging="284"/>
        <w:jc w:val="both"/>
        <w:rPr>
          <w:rFonts w:ascii="Times New Roman" w:hAnsi="Times New Roman" w:cs="Times New Roman"/>
          <w:lang w:val="fr-BE"/>
        </w:rPr>
      </w:pPr>
      <w:r w:rsidRPr="007729E5">
        <w:rPr>
          <w:rFonts w:ascii="Times New Roman" w:hAnsi="Times New Roman" w:cs="Times New Roman"/>
          <w:color w:val="000000"/>
          <w:lang w:val="fr-BE"/>
        </w:rPr>
        <w:tab/>
        <w:t>Il peut être dérogé au premier alinéa lorsque des avantages équivalents sont octroyés par une convention collective de travail conclue au sein de la commission paritaire du travail intérimaire et rendue obligatoire par le Roi.</w:t>
      </w:r>
      <w:r>
        <w:rPr>
          <w:rFonts w:ascii="Times New Roman" w:hAnsi="Times New Roman" w:cs="Times New Roman"/>
          <w:color w:val="000000"/>
          <w:lang w:val="fr-BE"/>
        </w:rPr>
        <w:t xml:space="preserve"> »</w:t>
      </w:r>
      <w:r w:rsidRPr="007729E5">
        <w:rPr>
          <w:rFonts w:ascii="Times New Roman" w:hAnsi="Times New Roman" w:cs="Times New Roman"/>
          <w:color w:val="000000"/>
          <w:lang w:val="fr-BE"/>
        </w:rPr>
        <w:t xml:space="preserve">  </w:t>
      </w:r>
    </w:p>
  </w:footnote>
  <w:footnote w:id="9">
    <w:p w:rsidR="003F7DEE" w:rsidRDefault="003F7DEE" w:rsidP="003F7DEE">
      <w:pPr>
        <w:pStyle w:val="Voetnoottekst"/>
        <w:tabs>
          <w:tab w:val="left" w:pos="284"/>
        </w:tabs>
        <w:ind w:left="284" w:hanging="284"/>
        <w:jc w:val="both"/>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Article 3, commentaire 2 et article 8, commentaire 1 de la CCT n° 90.</w:t>
      </w:r>
    </w:p>
    <w:p w:rsidR="003F7DEE" w:rsidRPr="007729E5" w:rsidRDefault="003F7DEE" w:rsidP="003F7DEE">
      <w:pPr>
        <w:pStyle w:val="Voetnoottekst"/>
        <w:tabs>
          <w:tab w:val="left" w:pos="284"/>
        </w:tabs>
        <w:ind w:left="284" w:hanging="284"/>
        <w:jc w:val="both"/>
        <w:rPr>
          <w:rFonts w:ascii="Times New Roman" w:hAnsi="Times New Roman" w:cs="Times New Roman"/>
          <w:lang w:val="fr-BE"/>
        </w:rPr>
      </w:pPr>
    </w:p>
  </w:footnote>
  <w:footnote w:id="10">
    <w:p w:rsidR="003F7DEE" w:rsidRDefault="003F7DEE" w:rsidP="003F7DEE">
      <w:pPr>
        <w:pStyle w:val="Voetnoottekst"/>
        <w:tabs>
          <w:tab w:val="left" w:pos="284"/>
        </w:tabs>
        <w:ind w:left="284" w:hanging="284"/>
        <w:jc w:val="both"/>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sidRPr="00067349">
        <w:rPr>
          <w:rFonts w:ascii="Times New Roman" w:hAnsi="Times New Roman" w:cs="Times New Roman"/>
          <w:lang w:val="fr-BE"/>
        </w:rPr>
        <w:tab/>
        <w:t xml:space="preserve">S'il n'existe pas de délégation syndicale dans l'entreprise et si la commission paritaire n'a pas prévu de procédure de règlement des contestations, le plan d'octroi prévoit une procédure opérationnelle propre, applicable en cas de contestation relative à l'évaluation des résultats.  </w:t>
      </w:r>
    </w:p>
    <w:p w:rsidR="003F7DEE" w:rsidRPr="00067349" w:rsidRDefault="003F7DEE" w:rsidP="003F7DEE">
      <w:pPr>
        <w:pStyle w:val="Voetnoottekst"/>
        <w:tabs>
          <w:tab w:val="left" w:pos="284"/>
        </w:tabs>
        <w:ind w:left="284" w:hanging="284"/>
        <w:jc w:val="both"/>
        <w:rPr>
          <w:rFonts w:ascii="Times New Roman" w:hAnsi="Times New Roman" w:cs="Times New Roman"/>
          <w:lang w:val="fr-BE"/>
        </w:rPr>
      </w:pPr>
    </w:p>
  </w:footnote>
  <w:footnote w:id="11">
    <w:p w:rsidR="003F7DEE" w:rsidRPr="00F515BB" w:rsidRDefault="003F7DEE" w:rsidP="003F7DEE">
      <w:pPr>
        <w:pStyle w:val="Voetnoottekst"/>
        <w:tabs>
          <w:tab w:val="left" w:pos="284"/>
        </w:tabs>
        <w:ind w:left="284" w:hanging="284"/>
        <w:jc w:val="both"/>
        <w:rPr>
          <w:rFonts w:ascii="Times New Roman" w:hAnsi="Times New Roman" w:cs="Times New Roman"/>
          <w:b/>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Il convient soit d’indiquer la date à laquelle la convention collective de travail à durée déterminée prend fin, soit de cocher la ligne « Est</w:t>
      </w:r>
      <w:r>
        <w:rPr>
          <w:rFonts w:ascii="Times New Roman" w:hAnsi="Times New Roman" w:cs="Times New Roman"/>
          <w:lang w:val="fr-BE"/>
        </w:rPr>
        <w:t xml:space="preserve"> conclue à durée indéterminée »</w:t>
      </w:r>
      <w:r w:rsidRPr="00DB0D89">
        <w:rPr>
          <w:rFonts w:ascii="Times New Roman" w:hAnsi="Times New Roman" w:cs="Times New Roman"/>
          <w:lang w:val="fr-BE"/>
        </w:rPr>
        <w:t>.</w:t>
      </w:r>
    </w:p>
  </w:footnote>
  <w:footnote w:id="12">
    <w:p w:rsidR="003F7DEE" w:rsidRDefault="003F7DEE" w:rsidP="003F7DEE">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 xml:space="preserve">Cette rubrique ne doit pas être remplie pour les conventions à durée déterminée </w:t>
      </w:r>
      <w:r w:rsidRPr="0081500C">
        <w:rPr>
          <w:rFonts w:ascii="Times New Roman" w:hAnsi="Times New Roman" w:cs="Times New Roman"/>
          <w:lang w:val="fr-BE"/>
        </w:rPr>
        <w:t>qui</w:t>
      </w:r>
      <w:r>
        <w:rPr>
          <w:rFonts w:ascii="Times New Roman" w:hAnsi="Times New Roman" w:cs="Times New Roman"/>
          <w:lang w:val="fr-BE"/>
        </w:rPr>
        <w:t xml:space="preserve"> ne comportent pas de</w:t>
      </w:r>
      <w:r w:rsidRPr="00DB0D89">
        <w:rPr>
          <w:rFonts w:ascii="Times New Roman" w:hAnsi="Times New Roman" w:cs="Times New Roman"/>
          <w:lang w:val="fr-BE"/>
        </w:rPr>
        <w:t xml:space="preserve"> clause de reconduc</w:t>
      </w:r>
      <w:r>
        <w:rPr>
          <w:rFonts w:ascii="Times New Roman" w:hAnsi="Times New Roman" w:cs="Times New Roman"/>
          <w:lang w:val="fr-BE"/>
        </w:rPr>
        <w:t>tion.</w:t>
      </w:r>
    </w:p>
    <w:p w:rsidR="003F7DEE" w:rsidRPr="00DB0D89" w:rsidRDefault="003F7DEE" w:rsidP="003F7DEE">
      <w:pPr>
        <w:pStyle w:val="Voetnoottekst"/>
        <w:tabs>
          <w:tab w:val="left" w:pos="284"/>
        </w:tabs>
        <w:ind w:left="284" w:hanging="284"/>
        <w:jc w:val="both"/>
        <w:rPr>
          <w:rFonts w:ascii="Times New Roman" w:hAnsi="Times New Roman" w:cs="Times New Roman"/>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EE"/>
    <w:rsid w:val="00051490"/>
    <w:rsid w:val="000A0130"/>
    <w:rsid w:val="001536B8"/>
    <w:rsid w:val="001B3400"/>
    <w:rsid w:val="003661E3"/>
    <w:rsid w:val="003F7DEE"/>
    <w:rsid w:val="00654362"/>
    <w:rsid w:val="006D70F8"/>
    <w:rsid w:val="007F767F"/>
    <w:rsid w:val="009C00A4"/>
    <w:rsid w:val="00C05AE5"/>
    <w:rsid w:val="00D034A1"/>
    <w:rsid w:val="00E70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DEE"/>
  </w:style>
  <w:style w:type="paragraph" w:styleId="Voettekst">
    <w:name w:val="footer"/>
    <w:basedOn w:val="Standaard"/>
    <w:link w:val="VoettekstChar"/>
    <w:uiPriority w:val="99"/>
    <w:unhideWhenUsed/>
    <w:rsid w:val="003F7D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DEE"/>
  </w:style>
  <w:style w:type="paragraph" w:styleId="Voetnoottekst">
    <w:name w:val="footnote text"/>
    <w:basedOn w:val="Standaard"/>
    <w:link w:val="VoetnoottekstChar"/>
    <w:uiPriority w:val="99"/>
    <w:semiHidden/>
    <w:unhideWhenUsed/>
    <w:rsid w:val="003F7D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DEE"/>
    <w:rPr>
      <w:sz w:val="20"/>
      <w:szCs w:val="20"/>
    </w:rPr>
  </w:style>
  <w:style w:type="character" w:styleId="Hyperlink">
    <w:name w:val="Hyperlink"/>
    <w:basedOn w:val="Standaardalinea-lettertype"/>
    <w:uiPriority w:val="99"/>
    <w:unhideWhenUsed/>
    <w:rsid w:val="003F7DEE"/>
    <w:rPr>
      <w:color w:val="0000FF"/>
      <w:u w:val="single"/>
    </w:rPr>
  </w:style>
  <w:style w:type="character" w:styleId="Voetnootmarkering">
    <w:name w:val="footnote reference"/>
    <w:basedOn w:val="Standaardalinea-lettertype"/>
    <w:uiPriority w:val="99"/>
    <w:semiHidden/>
    <w:unhideWhenUsed/>
    <w:rsid w:val="003F7DEE"/>
    <w:rPr>
      <w:vertAlign w:val="superscript"/>
    </w:rPr>
  </w:style>
  <w:style w:type="paragraph" w:customStyle="1" w:styleId="Default">
    <w:name w:val="Default"/>
    <w:rsid w:val="003F7DEE"/>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3F7DEE"/>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2019-05-21T09:17:00Z</dcterms:created>
  <dcterms:modified xsi:type="dcterms:W3CDTF">2019-05-21T09:17:00Z</dcterms:modified>
</cp:coreProperties>
</file>