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CENTRAAL LAB. BAYER ANT. COMM"/>
      </w:tblPr>
      <w:tblGrid>
        <w:gridCol w:w="1065"/>
        <w:gridCol w:w="1635"/>
        <w:gridCol w:w="2400"/>
        <w:gridCol w:w="4050"/>
      </w:tblGrid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bookmarkStart w:id="0" w:name="_GoBack"/>
            <w:r w:rsidRPr="008D5FF6">
              <w:rPr>
                <w:rFonts w:ascii="Arial" w:eastAsia="Times New Roman" w:hAnsi="Arial" w:cs="Arial"/>
                <w:b/>
                <w:bCs/>
                <w:lang w:eastAsia="nl-BE"/>
              </w:rPr>
              <w:t>GROUPE</w:t>
            </w:r>
            <w:r w:rsidRPr="008D5FF6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  <w:r w:rsidRPr="008D5FF6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b/>
                <w:bCs/>
                <w:lang w:eastAsia="nl-BE"/>
              </w:rPr>
              <w:t>BASEE SUR</w:t>
            </w:r>
            <w:r w:rsidRPr="008D5FF6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b/>
                <w:bCs/>
                <w:lang w:eastAsia="nl-BE"/>
              </w:rPr>
              <w:t>ACTE ET PRINCIPE</w:t>
            </w:r>
            <w:r w:rsidRPr="008D5FF6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15006/15008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0500/0600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Détermination de la concentration en particules de la fraction inhalable et alvéolaire. </w:t>
            </w:r>
            <w:r w:rsidRPr="008D5FF6">
              <w:rPr>
                <w:rFonts w:ascii="Arial" w:eastAsia="Times New Roman" w:hAnsi="Arial" w:cs="Arial"/>
                <w:lang w:eastAsia="nl-BE"/>
              </w:rPr>
              <w:t xml:space="preserve">Collecte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sélective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sur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filtre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et gravimétrie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2901-15023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ICP-038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ISO 15202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NIOSH 7301/7303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Détermination de métaux et métalloïdes dans les particules de la fraction inhalable (ex. Ag, </w:t>
            </w:r>
            <w:r w:rsidRPr="008D5FF6">
              <w:rPr>
                <w:rFonts w:ascii="Arial" w:eastAsia="Times New Roman" w:hAnsi="Arial" w:cs="Arial"/>
                <w:lang w:val="it-IT" w:eastAsia="nl-BE"/>
              </w:rPr>
              <w:t>Al, As, Ba, Bi, Ca, Cd, Cr, Co, Cu, Fe, Mg, Mn, Mo, Ni, Nb, P, Pb, Pt, Sb, Se, Sn, Sr, Ti, V, Zn</w:t>
            </w:r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). </w:t>
            </w:r>
            <w:r w:rsidRPr="008D5FF6">
              <w:rPr>
                <w:rFonts w:ascii="Arial" w:eastAsia="Times New Roman" w:hAnsi="Arial" w:cs="Arial"/>
                <w:lang w:eastAsia="nl-BE"/>
              </w:rPr>
              <w:t xml:space="preserve">Collecte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sélective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sur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filtre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destruction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acide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et ICP-OES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2901-15008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HPLC-004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OSHA PV2012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Détermination de caprolactame (poussières) dans la fraction inhalable. </w:t>
            </w:r>
            <w:r w:rsidRPr="008D5FF6">
              <w:rPr>
                <w:rFonts w:ascii="Arial" w:eastAsia="Times New Roman" w:hAnsi="Arial" w:cs="Arial"/>
                <w:lang w:eastAsia="nl-BE"/>
              </w:rPr>
              <w:t xml:space="preserve">Collecte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sur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filtre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,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désorption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et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chromatographie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ionique</w:t>
            </w:r>
            <w:proofErr w:type="spellEnd"/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2901-15006 et</w:t>
            </w:r>
          </w:p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IR-005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7602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quartz cristallin dans la fraction des particules alvéolaires, par collecte sur filtre, incinération et spectroscopie infra rouge (FTIR)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2901-00482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7903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d'acides inorganiques (HNO</w:t>
            </w:r>
            <w:r w:rsidRPr="008D5FF6">
              <w:rPr>
                <w:rFonts w:ascii="Arial" w:eastAsia="Times New Roman" w:hAnsi="Arial" w:cs="Arial"/>
                <w:vertAlign w:val="subscript"/>
                <w:lang w:val="fr-FR" w:eastAsia="nl-BE"/>
              </w:rPr>
              <w:t>3</w:t>
            </w:r>
            <w:r w:rsidRPr="008D5FF6">
              <w:rPr>
                <w:rFonts w:ascii="Arial" w:eastAsia="Times New Roman" w:hAnsi="Arial" w:cs="Arial"/>
                <w:lang w:val="fr-FR" w:eastAsia="nl-BE"/>
              </w:rPr>
              <w:t>, HCl). Adsorption sur silica gel et chromatographie ionique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2901-15008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290-00482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BGIA-097-02-S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NMAM 7908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d’acide sulfurique. Collecte sur filtre, désorption et chromatographie ionique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2901-15022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FOTO-013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7600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Détermination du Chrome VI (fraction soluble dans l’eau ou insoluble). Par collecte sur un filtre, suivi par extraction sélective et détermination spectrophotométrie 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2901-15065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Propre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méthode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Détermination d'ammoniac. Mesurage direct par cellule électrochimique 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lastRenderedPageBreak/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2901-15065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Propre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méthode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chlore. Mesurage direct par cellule électrochimique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2901-15065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Propre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méthode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phosgène. Mesurage direct par cellule électrochimique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2901-15065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Propre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méthode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monoxyde d'azote. Mesurage direct par cellule électrochimique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2901-15065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Propre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méthode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dioxyde d'azote. Mesurage direct par cellule électrochimique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2901-15065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6604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monoxyde de carbone. Mesurage direct par cellule électrochimique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2901-15065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Propre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méthode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sulfure d'hydrogène. Mesurage direct par cellule électrochimique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2901-15065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Propre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méthode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dioxyde de soufre. Mesurage direct par cellule électrochimique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</w:t>
            </w:r>
          </w:p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1500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d'hydrocarbures aliphatiques. Adsorption sur charbon actif, désorption et chromatographie en phase gazeuse (GC)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ou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2901-00484 (GC-178)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1501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d'hydrocarbures aromatiques. Adsorption sur charbon actif, désorption et chromatographie en phase gazeuse (GC-FID ou GC-MS)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ou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2901-00484 (GC-178)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1001/1003/1005/1022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d'hydrocarbures chlorés. Adsorption sur charbon actif, désorption et chromatographie en phase gazeuse (GC-FID ou GC-MS)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lastRenderedPageBreak/>
              <w:t>4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ou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2901-00484 (GC-178)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2000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LUC/IV/009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d'alcools. Adsorption sur carboxen ou silica gel (méthanol), désorption et chromatographie en phase gazeuse (GC)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ou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2901-00484 (GC-178)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1450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LUC/IV/004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d'acetates. Adsorption sur charbon actif, désorption et chromatographie en phase gazeuse (GC-FID ou GC-MS)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ou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2901-00484 (GC-178)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LUC/IV/007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cétones. Adsorption sur carboxen, désorption et chromatographie en phase gazeuse (GC-FID ou GC-MS)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HPLC-026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2018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formalaldéhyde,acetaldéhyde et propionaldéhyde. Adsorption sur silica gel traité au DNPH, désorption et HPLC-UV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OSHA 56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NIOSH 1500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(di)(iso)butylène et isoprène. Adsorption sur charbon actif traité, désorption et chromatographie en phase gazeuse (GC-FID)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2901-15008 et</w:t>
            </w:r>
          </w:p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IR-009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5026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d'huiles minérales (vaporeux). Collecte sur filtre et spectrométrie infra-rouge (FTIR)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 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ou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2901-00484 (GC-178)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1606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d'acétonitrile. Adsorption sur charbon actif, désorption et chromatographie en phase gazeuse (GC-FID ou GC-MS)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lastRenderedPageBreak/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2901-00243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(GC-020)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1604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d’acrylonitrile. Adsorption sur charbon actif, désorption et chromatographie en phase gazeuse (GC-FID)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HPLC-036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Propre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méthode</w:t>
            </w:r>
          </w:p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 xml:space="preserve">Waters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application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br/>
              <w:t>Library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 xml:space="preserve">File </w:t>
            </w:r>
            <w:proofErr w:type="spellStart"/>
            <w:r w:rsidRPr="008D5FF6">
              <w:rPr>
                <w:rFonts w:ascii="Arial" w:eastAsia="Times New Roman" w:hAnsi="Arial" w:cs="Arial"/>
                <w:lang w:eastAsia="nl-BE"/>
              </w:rPr>
              <w:t>number</w:t>
            </w:r>
            <w:proofErr w:type="spellEnd"/>
            <w:r w:rsidRPr="008D5FF6">
              <w:rPr>
                <w:rFonts w:ascii="Arial" w:eastAsia="Times New Roman" w:hAnsi="Arial" w:cs="Arial"/>
                <w:lang w:eastAsia="nl-BE"/>
              </w:rPr>
              <w:t xml:space="preserve"> SP84031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d'amines aliphatiques (cyclohexylamine, t-butylamine, isopropylamine). Adsorption sur Sep-Pak Cartridge X sorbent C18, désorption en HPLC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HPLC-004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OSHA PV2012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caprolactame (vapeurs). Adsorption sur silica gel, désorption et HPLC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HPLC-023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OSHA 32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phénol, biphénols et butylphénol. Adsorption sur silica gel, désorption et HPLC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HPLC-038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NIOSH2002/2005/2017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d'aniline, benzothiazole et de benzène nitré. Adsorption sur silica gel, désorption et HPLC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2901-00359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(GC-116-bis)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1612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NBN T96-201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d'éthylène et de propylène oxyde. Adsorption sur charbon actif, désorption et chromatographie en phase gazeuse (GC-FID ou GC-MS)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2901-00348</w:t>
            </w:r>
            <w:r w:rsidRPr="008D5FF6">
              <w:rPr>
                <w:rFonts w:ascii="Arial" w:eastAsia="Times New Roman" w:hAnsi="Arial" w:cs="Arial"/>
                <w:lang w:eastAsia="nl-BE"/>
              </w:rPr>
              <w:br/>
              <w:t>(GC-071)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NIOSH 1600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>Détermination de disulfure de carbone. Adsorption sur charbon actif, désorption et chromatographie en phase gazeuse (GC-MS)</w:t>
            </w:r>
          </w:p>
        </w:tc>
      </w:tr>
      <w:tr w:rsidR="008D5FF6" w:rsidRPr="008D5FF6" w:rsidTr="008D5FF6">
        <w:trPr>
          <w:tblCellSpacing w:w="0" w:type="dxa"/>
        </w:trPr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eastAsia="nl-BE"/>
              </w:rPr>
              <w:t>2901-15030 et 2901-00243 (GC-020)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D5FF6">
              <w:rPr>
                <w:rFonts w:ascii="Arial" w:eastAsia="Times New Roman" w:hAnsi="Arial" w:cs="Arial"/>
                <w:lang w:val="nl-NL" w:eastAsia="nl-BE"/>
              </w:rPr>
              <w:t>3 M Technical Data Bulletin 1028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FF6" w:rsidRPr="008D5FF6" w:rsidRDefault="008D5FF6" w:rsidP="008D5FF6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 Détermination avec sampling passif sur 3 M </w:t>
            </w:r>
            <w:proofErr w:type="spellStart"/>
            <w:r w:rsidRPr="008D5FF6">
              <w:rPr>
                <w:rFonts w:ascii="Arial" w:eastAsia="Times New Roman" w:hAnsi="Arial" w:cs="Arial"/>
                <w:lang w:val="fr-FR" w:eastAsia="nl-BE"/>
              </w:rPr>
              <w:t>organic</w:t>
            </w:r>
            <w:proofErr w:type="spellEnd"/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 </w:t>
            </w:r>
            <w:proofErr w:type="spellStart"/>
            <w:r w:rsidRPr="008D5FF6">
              <w:rPr>
                <w:rFonts w:ascii="Arial" w:eastAsia="Times New Roman" w:hAnsi="Arial" w:cs="Arial"/>
                <w:lang w:val="fr-FR" w:eastAsia="nl-BE"/>
              </w:rPr>
              <w:t>Vapor</w:t>
            </w:r>
            <w:proofErr w:type="spellEnd"/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 Monitor d’acétone, dichlorométhane, chlorobenzène, benzène, </w:t>
            </w:r>
            <w:proofErr w:type="spellStart"/>
            <w:r w:rsidRPr="008D5FF6">
              <w:rPr>
                <w:rFonts w:ascii="Arial" w:eastAsia="Times New Roman" w:hAnsi="Arial" w:cs="Arial"/>
                <w:lang w:val="fr-FR" w:eastAsia="nl-BE"/>
              </w:rPr>
              <w:t>cyclohexanon</w:t>
            </w:r>
            <w:proofErr w:type="spellEnd"/>
            <w:r w:rsidRPr="008D5FF6">
              <w:rPr>
                <w:rFonts w:ascii="Arial" w:eastAsia="Times New Roman" w:hAnsi="Arial" w:cs="Arial"/>
                <w:lang w:val="fr-FR" w:eastAsia="nl-BE"/>
              </w:rPr>
              <w:t xml:space="preserve"> et cyclohexanol</w:t>
            </w:r>
          </w:p>
        </w:tc>
      </w:tr>
    </w:tbl>
    <w:bookmarkEnd w:id="0"/>
    <w:p w:rsidR="008D5FF6" w:rsidRPr="008D5FF6" w:rsidRDefault="008D5FF6" w:rsidP="008D5FF6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8D5FF6">
        <w:rPr>
          <w:rFonts w:ascii="Arial" w:eastAsia="Times New Roman" w:hAnsi="Arial" w:cs="Arial"/>
          <w:lang w:val="fr-FR" w:eastAsia="nl-BE"/>
        </w:rPr>
        <w:t>Remarques:</w:t>
      </w:r>
      <w:r w:rsidRPr="008D5FF6">
        <w:rPr>
          <w:rFonts w:ascii="Arial" w:eastAsia="Times New Roman" w:hAnsi="Arial" w:cs="Arial"/>
          <w:lang w:val="fr-FR" w:eastAsia="nl-BE"/>
        </w:rPr>
        <w:br/>
      </w:r>
      <w:r w:rsidRPr="008D5FF6">
        <w:rPr>
          <w:rFonts w:ascii="Arial" w:eastAsia="Times New Roman" w:hAnsi="Arial" w:cs="Arial"/>
          <w:lang w:val="fr-FR" w:eastAsia="nl-BE"/>
        </w:rPr>
        <w:br/>
      </w:r>
      <w:r w:rsidRPr="008D5FF6">
        <w:rPr>
          <w:rFonts w:ascii="Arial" w:eastAsia="Times New Roman" w:hAnsi="Arial" w:cs="Arial"/>
          <w:lang w:val="fr-FR" w:eastAsia="nl-BE"/>
        </w:rPr>
        <w:lastRenderedPageBreak/>
        <w:t>Analyse par GC : les composants des échantillons inconnus sont, si nécessaire, préalablement identifiés par GC-MS; l'analyse quantitative est réalisée par GC-FID sauf mention contraire.</w:t>
      </w:r>
    </w:p>
    <w:p w:rsidR="008D5FF6" w:rsidRPr="008D5FF6" w:rsidRDefault="008D5FF6" w:rsidP="008D5FF6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8D5FF6">
        <w:rPr>
          <w:rFonts w:ascii="Arial" w:eastAsia="Times New Roman" w:hAnsi="Arial" w:cs="Arial"/>
          <w:lang w:val="fr-FR" w:eastAsia="nl-BE"/>
        </w:rPr>
        <w:t>Analyse par HPLC : l'identification des composants peut, si nécessaire, être réalisée par LC-MS à haute spécificité (par exemple pour l les aldéhydes)</w:t>
      </w:r>
    </w:p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484726"/>
    <w:rsid w:val="00527EAC"/>
    <w:rsid w:val="007E78E0"/>
    <w:rsid w:val="007F4202"/>
    <w:rsid w:val="00874382"/>
    <w:rsid w:val="008D5FF6"/>
    <w:rsid w:val="008F2960"/>
    <w:rsid w:val="008F5702"/>
    <w:rsid w:val="00A5312F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2019-09-23T14:31:00Z</dcterms:created>
  <dcterms:modified xsi:type="dcterms:W3CDTF">2019-09-23T14:31:00Z</dcterms:modified>
</cp:coreProperties>
</file>