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0"/>
        <w:gridCol w:w="2038"/>
        <w:gridCol w:w="1844"/>
        <w:gridCol w:w="5238"/>
      </w:tblGrid>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b/>
                <w:bCs/>
                <w:lang w:val="fr-FR" w:eastAsia="nl-BE"/>
              </w:rPr>
              <w:t>GROUPE</w:t>
            </w:r>
            <w:r w:rsidRPr="00CA3A05">
              <w:rPr>
                <w:rFonts w:ascii="Arial" w:eastAsia="Times New Roman" w:hAnsi="Arial" w:cs="Arial"/>
                <w:b/>
                <w:bCs/>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b/>
                <w:bCs/>
                <w:lang w:val="fr-FR" w:eastAsia="nl-BE"/>
              </w:rPr>
              <w:t xml:space="preserve">METHODE </w:t>
            </w:r>
            <w:r w:rsidRPr="00CA3A05">
              <w:rPr>
                <w:rFonts w:ascii="Arial" w:eastAsia="Times New Roman" w:hAnsi="Arial" w:cs="Arial"/>
                <w:b/>
                <w:bCs/>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b/>
                <w:bCs/>
                <w:lang w:val="fr-FR" w:eastAsia="nl-BE"/>
              </w:rPr>
              <w:t xml:space="preserve">BASEE SUR </w:t>
            </w:r>
            <w:r w:rsidRPr="00CA3A05">
              <w:rPr>
                <w:rFonts w:ascii="Arial" w:eastAsia="Times New Roman" w:hAnsi="Arial" w:cs="Arial"/>
                <w:b/>
                <w:bCs/>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b/>
                <w:bCs/>
                <w:lang w:val="fr-FR" w:eastAsia="nl-BE"/>
              </w:rPr>
              <w:t>ACTE ET PRINCIPE</w:t>
            </w:r>
            <w:r w:rsidRPr="00CA3A05">
              <w:rPr>
                <w:rFonts w:ascii="Arial" w:eastAsia="Times New Roman" w:hAnsi="Arial" w:cs="Arial"/>
                <w:b/>
                <w:bCs/>
                <w:lang w:eastAsia="nl-BE"/>
              </w:rPr>
              <w:t>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1</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ECO-M-L-059</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NIOSH 7600</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Echantillonnage de Cr(VI) – fraction soluble et insoluble dans l’eau - dans l'air ambiant sur la base de NIOSH 7600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1</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ECO-M-L-058</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val="fr-FR" w:eastAsia="nl-BE"/>
              </w:rPr>
            </w:pPr>
            <w:r w:rsidRPr="00CA3A05">
              <w:rPr>
                <w:rFonts w:ascii="Arial" w:eastAsia="Times New Roman" w:hAnsi="Arial" w:cs="Arial"/>
                <w:lang w:val="fr-FR" w:eastAsia="nl-BE"/>
              </w:rPr>
              <w:t>Échantillonnage actif sur le filtre suivi d’analyse ICP / OES après destruction </w:t>
            </w:r>
          </w:p>
          <w:p w:rsidR="00CA3A05" w:rsidRPr="00CA3A05" w:rsidRDefault="00CA3A05" w:rsidP="00CA3A05">
            <w:pPr>
              <w:spacing w:after="100" w:afterAutospacing="1" w:line="240" w:lineRule="auto"/>
              <w:jc w:val="center"/>
              <w:rPr>
                <w:rFonts w:ascii="Arial" w:eastAsia="Times New Roman" w:hAnsi="Arial" w:cs="Arial"/>
                <w:lang w:val="fr-FR" w:eastAsia="nl-BE"/>
              </w:rPr>
            </w:pPr>
            <w:r w:rsidRPr="00CA3A05">
              <w:rPr>
                <w:rFonts w:ascii="Arial" w:eastAsia="Times New Roman" w:hAnsi="Arial" w:cs="Arial"/>
                <w:lang w:val="fr-FR"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Echantillonnage d’Ag, Al, As, B, Ba, Be, Ca, Cd, Co, Cr, Cu, Mg, Mn, Mo, Ni, P, Pb, Pt, Sb, Se, Sn, TI, V et Zn dans l'air ambiant </w:t>
            </w:r>
          </w:p>
        </w:tc>
        <w:bookmarkStart w:id="0" w:name="_GoBack"/>
        <w:bookmarkEnd w:id="0"/>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1</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ECO-M-L-024</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MDHS 14/3</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Echantillonnage des particules inhalables (PM100), respirables (PM4),  PM1 et PM2,5 dans l'air ambiant sur la base de MDHS 14/3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3</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ECO-M-L-66</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Analyse infrarouge</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Détermination du CO2 dans l'air ambiant par le biais d’analyse infrarouge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3</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ECO-M-L-64</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NIOSH 6604</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Détermination du CO dans l'air ambiant conformément à NIOSH 6604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3</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ECO-M-L-63</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NIOSH 6009</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Échantillonnage du Hg dans l'air ambiant de l'air NIOSH 6009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3</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ECO-M-L-62</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NIOSH 7903</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 xml:space="preserve">Echantillonnage de HCL, H3PO4, </w:t>
            </w:r>
            <w:proofErr w:type="spellStart"/>
            <w:r w:rsidRPr="00CA3A05">
              <w:rPr>
                <w:rFonts w:ascii="Arial" w:eastAsia="Times New Roman" w:hAnsi="Arial" w:cs="Arial"/>
                <w:lang w:val="fr-FR" w:eastAsia="nl-BE"/>
              </w:rPr>
              <w:t>HBr</w:t>
            </w:r>
            <w:proofErr w:type="spellEnd"/>
            <w:r w:rsidRPr="00CA3A05">
              <w:rPr>
                <w:rFonts w:ascii="Arial" w:eastAsia="Times New Roman" w:hAnsi="Arial" w:cs="Arial"/>
                <w:lang w:val="fr-FR" w:eastAsia="nl-BE"/>
              </w:rPr>
              <w:t>, HNO3 et H2SO4 dans l'air ambiant conformément à NIOSH 7903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3</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ECO-M-L-60</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NIOSH 6016</w:t>
            </w:r>
            <w:r w:rsidRPr="00CA3A05">
              <w:rPr>
                <w:rFonts w:ascii="Arial" w:eastAsia="Times New Roman" w:hAnsi="Arial" w:cs="Arial"/>
                <w:lang w:eastAsia="nl-BE"/>
              </w:rPr>
              <w:t>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Échantillonnage de NH3 dans l'air ambiant sur base de NIOSH 6016 </w:t>
            </w:r>
          </w:p>
        </w:tc>
      </w:tr>
      <w:tr w:rsidR="00CA3A05" w:rsidRPr="00CA3A05" w:rsidTr="00CA3A05">
        <w:trPr>
          <w:tblCellSpacing w:w="0" w:type="dxa"/>
        </w:trPr>
        <w:tc>
          <w:tcPr>
            <w:tcW w:w="117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en-GB" w:eastAsia="nl-BE"/>
              </w:rPr>
              <w:t>4+5</w:t>
            </w:r>
            <w:r w:rsidRPr="00CA3A05">
              <w:rPr>
                <w:rFonts w:ascii="Arial" w:eastAsia="Times New Roman" w:hAnsi="Arial" w:cs="Arial"/>
                <w:lang w:eastAsia="nl-BE"/>
              </w:rPr>
              <w:t> </w:t>
            </w:r>
          </w:p>
        </w:tc>
        <w:tc>
          <w:tcPr>
            <w:tcW w:w="2040"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eastAsia="nl-BE"/>
              </w:rPr>
            </w:pPr>
            <w:r w:rsidRPr="00CA3A05">
              <w:rPr>
                <w:rFonts w:ascii="Arial" w:eastAsia="Times New Roman" w:hAnsi="Arial" w:cs="Arial"/>
                <w:lang w:val="fr-FR" w:eastAsia="nl-BE"/>
              </w:rPr>
              <w:t>ECO-M-L-061</w:t>
            </w:r>
            <w:r w:rsidRPr="00CA3A05">
              <w:rPr>
                <w:rFonts w:ascii="Arial" w:eastAsia="Times New Roman" w:hAnsi="Arial" w:cs="Arial"/>
                <w:lang w:eastAsia="nl-BE"/>
              </w:rPr>
              <w:t> </w:t>
            </w:r>
          </w:p>
        </w:tc>
        <w:tc>
          <w:tcPr>
            <w:tcW w:w="1845" w:type="dxa"/>
            <w:tcMar>
              <w:top w:w="15" w:type="dxa"/>
              <w:left w:w="15" w:type="dxa"/>
              <w:bottom w:w="15" w:type="dxa"/>
              <w:right w:w="15" w:type="dxa"/>
            </w:tcMar>
            <w:hideMark/>
          </w:tcPr>
          <w:p w:rsidR="00CA3A05" w:rsidRPr="00CA3A05" w:rsidRDefault="00CA3A05" w:rsidP="00CA3A05">
            <w:pPr>
              <w:spacing w:after="100" w:afterAutospacing="1" w:line="240" w:lineRule="auto"/>
              <w:jc w:val="center"/>
              <w:rPr>
                <w:rFonts w:ascii="Arial" w:eastAsia="Times New Roman" w:hAnsi="Arial" w:cs="Arial"/>
                <w:lang w:val="fr-FR" w:eastAsia="nl-BE"/>
              </w:rPr>
            </w:pPr>
            <w:r w:rsidRPr="00CA3A05">
              <w:rPr>
                <w:rFonts w:ascii="Arial" w:eastAsia="Times New Roman" w:hAnsi="Arial" w:cs="Arial"/>
                <w:lang w:val="fr-FR" w:eastAsia="nl-BE"/>
              </w:rPr>
              <w:t>Échantillonnage actif sur tube à d'adsorption suivi d’analyse GC/MS après désorption </w:t>
            </w:r>
          </w:p>
        </w:tc>
        <w:tc>
          <w:tcPr>
            <w:tcW w:w="5250" w:type="dxa"/>
            <w:tcMar>
              <w:top w:w="15" w:type="dxa"/>
              <w:left w:w="15" w:type="dxa"/>
              <w:bottom w:w="15" w:type="dxa"/>
              <w:right w:w="15" w:type="dxa"/>
            </w:tcMar>
            <w:hideMark/>
          </w:tcPr>
          <w:p w:rsidR="00CA3A05" w:rsidRPr="00CA3A05" w:rsidRDefault="00CA3A05" w:rsidP="00CA3A05">
            <w:pPr>
              <w:spacing w:after="100" w:afterAutospacing="1" w:line="240" w:lineRule="auto"/>
              <w:rPr>
                <w:rFonts w:ascii="Arial" w:eastAsia="Times New Roman" w:hAnsi="Arial" w:cs="Arial"/>
                <w:lang w:val="fr-FR" w:eastAsia="nl-BE"/>
              </w:rPr>
            </w:pPr>
            <w:r w:rsidRPr="00CA3A05">
              <w:rPr>
                <w:rFonts w:ascii="Arial" w:eastAsia="Times New Roman" w:hAnsi="Arial" w:cs="Arial"/>
                <w:lang w:val="fr-FR" w:eastAsia="nl-BE"/>
              </w:rPr>
              <w:t>Echantillonnage des hydrocarbures paraffiniques, des hydrocarbures oléfiniques, des hydrocarbures aromatiques, des hydrocarbures aliphatiques halogénés, des esters, des cétones, des éthers, des alcools, des aldéhydes, de l'oxyde de propylène et des HAP dans l'air ambiant </w:t>
            </w:r>
          </w:p>
        </w:tc>
      </w:tr>
    </w:tbl>
    <w:p w:rsidR="00E46057" w:rsidRPr="00604443" w:rsidRDefault="00E46057">
      <w:pPr>
        <w:rPr>
          <w:lang w:val="fr-FR"/>
        </w:rPr>
      </w:pPr>
    </w:p>
    <w:sectPr w:rsidR="00E46057" w:rsidRPr="00604443" w:rsidSect="007E18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7A"/>
    <w:rsid w:val="00124CB3"/>
    <w:rsid w:val="001C1A3D"/>
    <w:rsid w:val="00604443"/>
    <w:rsid w:val="006E284E"/>
    <w:rsid w:val="007E187A"/>
    <w:rsid w:val="00A324B5"/>
    <w:rsid w:val="00CA3A05"/>
    <w:rsid w:val="00E46057"/>
    <w:rsid w:val="00EB0C07"/>
    <w:rsid w:val="00EF76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8AA9A-0C7C-4B6B-8C6C-7EBDBEA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3152">
      <w:bodyDiv w:val="1"/>
      <w:marLeft w:val="0"/>
      <w:marRight w:val="0"/>
      <w:marTop w:val="0"/>
      <w:marBottom w:val="0"/>
      <w:divBdr>
        <w:top w:val="none" w:sz="0" w:space="0" w:color="auto"/>
        <w:left w:val="none" w:sz="0" w:space="0" w:color="auto"/>
        <w:bottom w:val="none" w:sz="0" w:space="0" w:color="auto"/>
        <w:right w:val="none" w:sz="0" w:space="0" w:color="auto"/>
      </w:divBdr>
    </w:div>
    <w:div w:id="666709055">
      <w:bodyDiv w:val="1"/>
      <w:marLeft w:val="0"/>
      <w:marRight w:val="0"/>
      <w:marTop w:val="0"/>
      <w:marBottom w:val="0"/>
      <w:divBdr>
        <w:top w:val="none" w:sz="0" w:space="0" w:color="auto"/>
        <w:left w:val="none" w:sz="0" w:space="0" w:color="auto"/>
        <w:bottom w:val="none" w:sz="0" w:space="0" w:color="auto"/>
        <w:right w:val="none" w:sz="0" w:space="0" w:color="auto"/>
      </w:divBdr>
    </w:div>
    <w:div w:id="973602924">
      <w:bodyDiv w:val="1"/>
      <w:marLeft w:val="0"/>
      <w:marRight w:val="0"/>
      <w:marTop w:val="0"/>
      <w:marBottom w:val="0"/>
      <w:divBdr>
        <w:top w:val="none" w:sz="0" w:space="0" w:color="auto"/>
        <w:left w:val="none" w:sz="0" w:space="0" w:color="auto"/>
        <w:bottom w:val="none" w:sz="0" w:space="0" w:color="auto"/>
        <w:right w:val="none" w:sz="0" w:space="0" w:color="auto"/>
      </w:divBdr>
    </w:div>
    <w:div w:id="1011370560">
      <w:bodyDiv w:val="1"/>
      <w:marLeft w:val="0"/>
      <w:marRight w:val="0"/>
      <w:marTop w:val="0"/>
      <w:marBottom w:val="0"/>
      <w:divBdr>
        <w:top w:val="none" w:sz="0" w:space="0" w:color="auto"/>
        <w:left w:val="none" w:sz="0" w:space="0" w:color="auto"/>
        <w:bottom w:val="none" w:sz="0" w:space="0" w:color="auto"/>
        <w:right w:val="none" w:sz="0" w:space="0" w:color="auto"/>
      </w:divBdr>
    </w:div>
    <w:div w:id="1653951576">
      <w:bodyDiv w:val="1"/>
      <w:marLeft w:val="0"/>
      <w:marRight w:val="0"/>
      <w:marTop w:val="0"/>
      <w:marBottom w:val="0"/>
      <w:divBdr>
        <w:top w:val="none" w:sz="0" w:space="0" w:color="auto"/>
        <w:left w:val="none" w:sz="0" w:space="0" w:color="auto"/>
        <w:bottom w:val="none" w:sz="0" w:space="0" w:color="auto"/>
        <w:right w:val="none" w:sz="0" w:space="0" w:color="auto"/>
      </w:divBdr>
    </w:div>
    <w:div w:id="1967542898">
      <w:bodyDiv w:val="1"/>
      <w:marLeft w:val="0"/>
      <w:marRight w:val="0"/>
      <w:marTop w:val="0"/>
      <w:marBottom w:val="0"/>
      <w:divBdr>
        <w:top w:val="none" w:sz="0" w:space="0" w:color="auto"/>
        <w:left w:val="none" w:sz="0" w:space="0" w:color="auto"/>
        <w:bottom w:val="none" w:sz="0" w:space="0" w:color="auto"/>
        <w:right w:val="none" w:sz="0" w:space="0" w:color="auto"/>
      </w:divBdr>
    </w:div>
    <w:div w:id="2028168070">
      <w:bodyDiv w:val="1"/>
      <w:marLeft w:val="0"/>
      <w:marRight w:val="0"/>
      <w:marTop w:val="0"/>
      <w:marBottom w:val="0"/>
      <w:divBdr>
        <w:top w:val="none" w:sz="0" w:space="0" w:color="auto"/>
        <w:left w:val="none" w:sz="0" w:space="0" w:color="auto"/>
        <w:bottom w:val="none" w:sz="0" w:space="0" w:color="auto"/>
        <w:right w:val="none" w:sz="0" w:space="0" w:color="auto"/>
      </w:divBdr>
    </w:div>
    <w:div w:id="21198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Kumpen (FOD Werkgelegenheid - SPF Emploi)</dc:creator>
  <cp:keywords/>
  <dc:description/>
  <cp:lastModifiedBy>Patrick Kumpen (FOD Werkgelegenheid - SPF Emploi)</cp:lastModifiedBy>
  <cp:revision>2</cp:revision>
  <dcterms:created xsi:type="dcterms:W3CDTF">2019-09-24T08:16:00Z</dcterms:created>
  <dcterms:modified xsi:type="dcterms:W3CDTF">2019-09-24T08:16:00Z</dcterms:modified>
</cp:coreProperties>
</file>